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C5" w:rsidRPr="009A3361" w:rsidRDefault="005371C5" w:rsidP="005371C5">
      <w:pPr>
        <w:rPr>
          <w:rFonts w:ascii="Arial" w:hAnsi="Arial" w:cs="Arial"/>
          <w:b/>
          <w:bCs/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 xml:space="preserve">Technical assistance projects </w:t>
      </w:r>
    </w:p>
    <w:p w:rsidR="005371C5" w:rsidRPr="009A3361" w:rsidRDefault="005371C5" w:rsidP="005371C5">
      <w:pPr>
        <w:rPr>
          <w:rFonts w:ascii="Arial" w:hAnsi="Arial" w:cs="Arial"/>
          <w:b/>
          <w:bCs/>
          <w:lang w:val="en-US"/>
        </w:rPr>
      </w:pPr>
    </w:p>
    <w:p w:rsidR="005371C5" w:rsidRPr="009A3361" w:rsidRDefault="005371C5" w:rsidP="005371C5">
      <w:pPr>
        <w:rPr>
          <w:rFonts w:ascii="Arial" w:hAnsi="Arial" w:cs="Arial"/>
          <w:b/>
          <w:bCs/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 xml:space="preserve">Proposed projects: </w:t>
      </w:r>
    </w:p>
    <w:p w:rsidR="005371C5" w:rsidRPr="009A3361" w:rsidRDefault="005371C5" w:rsidP="005371C5">
      <w:pPr>
        <w:rPr>
          <w:rFonts w:ascii="Arial" w:hAnsi="Arial" w:cs="Arial"/>
          <w:b/>
          <w:bCs/>
          <w:lang w:val="en-US"/>
        </w:rPr>
      </w:pPr>
    </w:p>
    <w:p w:rsidR="005371C5" w:rsidRPr="009A3361" w:rsidRDefault="005371C5" w:rsidP="005371C5">
      <w:pPr>
        <w:pBdr>
          <w:bottom w:val="single" w:sz="4" w:space="1" w:color="auto"/>
        </w:pBdr>
        <w:rPr>
          <w:rFonts w:ascii="Arial" w:hAnsi="Arial" w:cs="Arial"/>
          <w:b/>
          <w:bCs/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 xml:space="preserve">Proposal 1 </w:t>
      </w:r>
      <w:r w:rsidRPr="009A3361">
        <w:rPr>
          <w:rFonts w:ascii="Arial" w:hAnsi="Arial" w:cs="Arial"/>
          <w:b/>
          <w:bCs/>
          <w:lang w:val="en-US"/>
        </w:rPr>
        <w:tab/>
      </w:r>
      <w:r w:rsidRPr="009A3361">
        <w:rPr>
          <w:rFonts w:ascii="Arial" w:hAnsi="Arial" w:cs="Arial"/>
          <w:b/>
          <w:bCs/>
          <w:lang w:val="en-US"/>
        </w:rPr>
        <w:tab/>
        <w:t xml:space="preserve"> Smart system</w:t>
      </w:r>
      <w:r>
        <w:rPr>
          <w:rFonts w:ascii="Arial" w:hAnsi="Arial" w:cs="Arial"/>
          <w:b/>
          <w:bCs/>
          <w:lang w:val="en-US"/>
        </w:rPr>
        <w:t>s</w:t>
      </w:r>
      <w:r w:rsidRPr="009A3361">
        <w:rPr>
          <w:rFonts w:ascii="Arial" w:hAnsi="Arial" w:cs="Arial"/>
          <w:b/>
          <w:bCs/>
          <w:lang w:val="en-US"/>
        </w:rPr>
        <w:t xml:space="preserve"> Implementation Strategy</w:t>
      </w:r>
    </w:p>
    <w:p w:rsidR="005371C5" w:rsidRPr="009A3361" w:rsidRDefault="005371C5" w:rsidP="005371C5">
      <w:pPr>
        <w:ind w:left="1276" w:hanging="1276"/>
        <w:rPr>
          <w:rFonts w:ascii="Arial" w:hAnsi="Arial" w:cs="Arial"/>
          <w:bCs/>
          <w:lang w:val="en-US"/>
        </w:rPr>
      </w:pPr>
      <w:r w:rsidRPr="009A3361">
        <w:rPr>
          <w:rFonts w:ascii="Arial" w:hAnsi="Arial" w:cs="Arial"/>
          <w:lang w:val="en-US"/>
        </w:rPr>
        <w:t xml:space="preserve">Objective: </w:t>
      </w:r>
      <w:r w:rsidRPr="009A3361">
        <w:rPr>
          <w:rFonts w:ascii="Arial" w:hAnsi="Arial" w:cs="Arial"/>
          <w:lang w:val="en-US"/>
        </w:rPr>
        <w:tab/>
      </w:r>
      <w:proofErr w:type="spellStart"/>
      <w:r w:rsidRPr="009A3361">
        <w:rPr>
          <w:rFonts w:ascii="Arial" w:hAnsi="Arial" w:cs="Arial"/>
          <w:lang w:val="en-US"/>
        </w:rPr>
        <w:t>Analyse</w:t>
      </w:r>
      <w:proofErr w:type="spellEnd"/>
      <w:r w:rsidRPr="009A3361">
        <w:rPr>
          <w:rFonts w:ascii="Arial" w:hAnsi="Arial" w:cs="Arial"/>
          <w:lang w:val="en-US"/>
        </w:rPr>
        <w:t xml:space="preserve"> the status and options for implementation of smart meter roll out policy and implementation strategy based on the most effective use of the smart meter</w:t>
      </w:r>
      <w:r>
        <w:rPr>
          <w:rFonts w:ascii="Arial" w:hAnsi="Arial" w:cs="Arial"/>
          <w:lang w:val="en-US"/>
        </w:rPr>
        <w:t>s</w:t>
      </w:r>
      <w:r w:rsidRPr="009A3361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 xml:space="preserve">optimize </w:t>
      </w:r>
      <w:r w:rsidRPr="009A3361">
        <w:rPr>
          <w:rFonts w:ascii="Arial" w:hAnsi="Arial" w:cs="Arial"/>
          <w:lang w:val="en-US"/>
        </w:rPr>
        <w:t xml:space="preserve">the grid and facilitate transition to grid automation  </w:t>
      </w:r>
    </w:p>
    <w:p w:rsidR="005371C5" w:rsidRPr="009A3361" w:rsidRDefault="005371C5" w:rsidP="005371C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 xml:space="preserve">Smart Meter implementation </w:t>
      </w:r>
    </w:p>
    <w:p w:rsidR="005371C5" w:rsidRPr="009A3361" w:rsidRDefault="005371C5" w:rsidP="005371C5">
      <w:pPr>
        <w:spacing w:after="0" w:line="240" w:lineRule="auto"/>
        <w:rPr>
          <w:rFonts w:ascii="Arial" w:hAnsi="Arial" w:cs="Arial"/>
          <w:bCs/>
          <w:lang w:val="en-US"/>
        </w:rPr>
      </w:pPr>
      <w:r w:rsidRPr="009A3361">
        <w:rPr>
          <w:rFonts w:ascii="Arial" w:hAnsi="Arial" w:cs="Arial"/>
          <w:bCs/>
          <w:lang w:val="en-US"/>
        </w:rPr>
        <w:t xml:space="preserve">Based on the findings </w:t>
      </w:r>
      <w:r>
        <w:rPr>
          <w:rFonts w:ascii="Arial" w:hAnsi="Arial" w:cs="Arial"/>
          <w:bCs/>
          <w:lang w:val="en-US"/>
        </w:rPr>
        <w:t>and recommendations from the st</w:t>
      </w:r>
      <w:r w:rsidRPr="009A3361">
        <w:rPr>
          <w:rFonts w:ascii="Arial" w:hAnsi="Arial" w:cs="Arial"/>
          <w:bCs/>
          <w:lang w:val="en-US"/>
        </w:rPr>
        <w:t xml:space="preserve">udy </w:t>
      </w:r>
      <w:r>
        <w:rPr>
          <w:rFonts w:ascii="Arial" w:hAnsi="Arial" w:cs="Arial"/>
          <w:bCs/>
          <w:lang w:val="en-US"/>
        </w:rPr>
        <w:t>conducted for Moldova</w:t>
      </w:r>
      <w:r w:rsidRPr="009A3361">
        <w:rPr>
          <w:rStyle w:val="FootnoteReference"/>
          <w:rFonts w:ascii="Arial" w:hAnsi="Arial" w:cs="Arial"/>
          <w:bCs/>
          <w:lang w:val="en-US"/>
        </w:rPr>
        <w:footnoteReference w:id="1"/>
      </w:r>
      <w:r w:rsidRPr="009A336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to </w:t>
      </w:r>
      <w:proofErr w:type="spellStart"/>
      <w:r>
        <w:rPr>
          <w:rFonts w:ascii="Arial" w:hAnsi="Arial" w:cs="Arial"/>
          <w:bCs/>
          <w:lang w:val="en-US"/>
        </w:rPr>
        <w:t>analyse</w:t>
      </w:r>
      <w:proofErr w:type="spellEnd"/>
      <w:r>
        <w:rPr>
          <w:rFonts w:ascii="Arial" w:hAnsi="Arial" w:cs="Arial"/>
          <w:bCs/>
          <w:lang w:val="en-US"/>
        </w:rPr>
        <w:t xml:space="preserve"> the following:</w:t>
      </w:r>
      <w:r w:rsidRPr="009A3361">
        <w:rPr>
          <w:rFonts w:ascii="Arial" w:hAnsi="Arial" w:cs="Arial"/>
          <w:bCs/>
          <w:lang w:val="en-US"/>
        </w:rPr>
        <w:t xml:space="preserve"> 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use of data received from smart metering - where is it used, for what purposes</w:t>
      </w:r>
      <w:r w:rsidR="00894DBB">
        <w:rPr>
          <w:rFonts w:ascii="Arial" w:hAnsi="Arial" w:cs="Arial"/>
          <w:lang w:val="en-US"/>
        </w:rPr>
        <w:t>,</w:t>
      </w:r>
      <w:r w:rsidRPr="009A3361">
        <w:rPr>
          <w:rFonts w:ascii="Arial" w:hAnsi="Arial" w:cs="Arial"/>
          <w:lang w:val="en-US"/>
        </w:rPr>
        <w:t xml:space="preserve"> targeted coverage 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 xml:space="preserve">method to define optimum coverage </w:t>
      </w:r>
    </w:p>
    <w:p w:rsidR="005371C5" w:rsidRPr="009A3361" w:rsidRDefault="005371C5" w:rsidP="005371C5">
      <w:pPr>
        <w:pStyle w:val="ListParagraph"/>
        <w:spacing w:after="0" w:line="240" w:lineRule="auto"/>
        <w:ind w:left="1890"/>
        <w:rPr>
          <w:sz w:val="22"/>
          <w:szCs w:val="22"/>
          <w:lang w:val="en-US"/>
        </w:rPr>
      </w:pPr>
    </w:p>
    <w:p w:rsidR="005371C5" w:rsidRPr="009A3361" w:rsidRDefault="005371C5" w:rsidP="005371C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>Network Automation Strategy</w:t>
      </w:r>
      <w:r w:rsidRPr="009A3361">
        <w:rPr>
          <w:rFonts w:ascii="Arial" w:hAnsi="Arial" w:cs="Arial"/>
          <w:lang w:val="en-US"/>
        </w:rPr>
        <w:t xml:space="preserve"> </w:t>
      </w:r>
    </w:p>
    <w:p w:rsidR="005371C5" w:rsidRPr="009A3361" w:rsidRDefault="005371C5" w:rsidP="005371C5">
      <w:pPr>
        <w:spacing w:after="0" w:line="240" w:lineRule="auto"/>
        <w:ind w:left="765"/>
        <w:rPr>
          <w:rFonts w:ascii="Arial" w:hAnsi="Arial" w:cs="Arial"/>
          <w:lang w:val="en-US"/>
        </w:rPr>
      </w:pPr>
    </w:p>
    <w:p w:rsidR="005371C5" w:rsidRPr="009A3361" w:rsidRDefault="005371C5" w:rsidP="005371C5">
      <w:pPr>
        <w:spacing w:after="0" w:line="240" w:lineRule="auto"/>
        <w:ind w:left="1276" w:hanging="1276"/>
        <w:rPr>
          <w:rFonts w:ascii="Arial" w:hAnsi="Arial" w:cs="Arial"/>
          <w:b/>
          <w:bCs/>
          <w:lang w:val="en-US"/>
        </w:rPr>
      </w:pPr>
      <w:r w:rsidRPr="009A3361">
        <w:rPr>
          <w:rFonts w:ascii="Arial" w:hAnsi="Arial" w:cs="Arial"/>
          <w:lang w:val="en-US"/>
        </w:rPr>
        <w:t xml:space="preserve">Present the experience and lesson learned in the pier-list of European DSOs in advanced stage of automation with the following information: 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automation technologies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target level of automation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sequence of automation (stages)</w:t>
      </w:r>
      <w:bookmarkStart w:id="0" w:name="_GoBack"/>
      <w:bookmarkEnd w:id="0"/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ind w:left="1530"/>
        <w:rPr>
          <w:rFonts w:ascii="Arial" w:hAnsi="Arial" w:cs="Arial"/>
          <w:lang w:val="en-US"/>
        </w:rPr>
      </w:pPr>
      <w:proofErr w:type="gramStart"/>
      <w:r w:rsidRPr="009A3361">
        <w:rPr>
          <w:rFonts w:ascii="Arial" w:hAnsi="Arial" w:cs="Arial"/>
          <w:lang w:val="en-US"/>
        </w:rPr>
        <w:t>economic</w:t>
      </w:r>
      <w:proofErr w:type="gramEnd"/>
      <w:r w:rsidRPr="009A3361">
        <w:rPr>
          <w:rFonts w:ascii="Arial" w:hAnsi="Arial" w:cs="Arial"/>
          <w:lang w:val="en-US"/>
        </w:rPr>
        <w:t xml:space="preserve"> efficiency of investments.</w:t>
      </w:r>
    </w:p>
    <w:p w:rsidR="005371C5" w:rsidRPr="009A3361" w:rsidRDefault="005371C5" w:rsidP="005371C5">
      <w:pPr>
        <w:spacing w:after="0" w:line="240" w:lineRule="auto"/>
        <w:ind w:left="765"/>
        <w:rPr>
          <w:lang w:val="en-US"/>
        </w:rPr>
      </w:pPr>
    </w:p>
    <w:p w:rsidR="005371C5" w:rsidRPr="009A3361" w:rsidRDefault="005371C5" w:rsidP="005371C5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>Workshops</w:t>
      </w:r>
      <w:r w:rsidRPr="009A3361">
        <w:rPr>
          <w:lang w:val="en-US"/>
        </w:rPr>
        <w:t xml:space="preserve"> </w:t>
      </w:r>
    </w:p>
    <w:p w:rsidR="005371C5" w:rsidRPr="009A3361" w:rsidRDefault="005371C5" w:rsidP="005371C5">
      <w:pPr>
        <w:pStyle w:val="ListParagraph"/>
        <w:numPr>
          <w:ilvl w:val="1"/>
          <w:numId w:val="1"/>
        </w:numPr>
        <w:spacing w:after="0" w:line="240" w:lineRule="auto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 xml:space="preserve">presentation of the Study </w:t>
      </w:r>
      <w:r>
        <w:rPr>
          <w:sz w:val="22"/>
          <w:szCs w:val="22"/>
          <w:lang w:val="en-US"/>
        </w:rPr>
        <w:t>for smart meter implementation</w:t>
      </w:r>
      <w:r w:rsidRPr="009A3361">
        <w:rPr>
          <w:sz w:val="22"/>
          <w:szCs w:val="22"/>
          <w:lang w:val="en-US"/>
        </w:rPr>
        <w:t xml:space="preserve"> and training on </w:t>
      </w:r>
      <w:r>
        <w:rPr>
          <w:sz w:val="22"/>
          <w:szCs w:val="22"/>
          <w:lang w:val="en-US"/>
        </w:rPr>
        <w:t xml:space="preserve">a </w:t>
      </w:r>
      <w:r w:rsidRPr="009A3361">
        <w:rPr>
          <w:sz w:val="22"/>
          <w:szCs w:val="22"/>
          <w:lang w:val="en-US"/>
        </w:rPr>
        <w:t xml:space="preserve">definition of coverage </w:t>
      </w:r>
    </w:p>
    <w:p w:rsidR="005371C5" w:rsidRPr="009A3361" w:rsidRDefault="005371C5" w:rsidP="005371C5">
      <w:pPr>
        <w:pStyle w:val="ListParagraph"/>
        <w:numPr>
          <w:ilvl w:val="1"/>
          <w:numId w:val="1"/>
        </w:numPr>
        <w:spacing w:after="0" w:line="240" w:lineRule="auto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 xml:space="preserve">presentation </w:t>
      </w:r>
      <w:r>
        <w:rPr>
          <w:sz w:val="22"/>
          <w:szCs w:val="22"/>
          <w:lang w:val="en-US"/>
        </w:rPr>
        <w:t>about</w:t>
      </w:r>
      <w:r w:rsidRPr="009A3361">
        <w:rPr>
          <w:sz w:val="22"/>
          <w:szCs w:val="22"/>
          <w:lang w:val="en-US"/>
        </w:rPr>
        <w:t xml:space="preserve"> automation processes/ pier DSO visit</w:t>
      </w:r>
    </w:p>
    <w:p w:rsidR="005371C5" w:rsidRPr="009A3361" w:rsidRDefault="005371C5" w:rsidP="005371C5">
      <w:pPr>
        <w:pStyle w:val="ListParagraph"/>
        <w:numPr>
          <w:ilvl w:val="1"/>
          <w:numId w:val="1"/>
        </w:numPr>
        <w:spacing w:after="0" w:line="240" w:lineRule="auto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training in evaluation of economic efficiency of investment</w:t>
      </w:r>
      <w:r>
        <w:rPr>
          <w:sz w:val="22"/>
          <w:szCs w:val="22"/>
          <w:lang w:val="en-US"/>
        </w:rPr>
        <w:t>s</w:t>
      </w:r>
      <w:r w:rsidRPr="009A3361">
        <w:rPr>
          <w:sz w:val="22"/>
          <w:szCs w:val="22"/>
          <w:lang w:val="en-US"/>
        </w:rPr>
        <w:t xml:space="preserve"> in automation </w:t>
      </w:r>
    </w:p>
    <w:p w:rsidR="005371C5" w:rsidRPr="009A3361" w:rsidRDefault="005371C5" w:rsidP="005371C5">
      <w:pPr>
        <w:rPr>
          <w:rFonts w:ascii="Arial" w:hAnsi="Arial" w:cs="Arial"/>
          <w:lang w:val="en-US"/>
        </w:rPr>
      </w:pPr>
    </w:p>
    <w:p w:rsidR="005371C5" w:rsidRPr="009A3361" w:rsidRDefault="005371C5" w:rsidP="005371C5">
      <w:pPr>
        <w:pBdr>
          <w:bottom w:val="single" w:sz="4" w:space="1" w:color="auto"/>
        </w:pBdr>
        <w:ind w:left="3540" w:hanging="3540"/>
        <w:jc w:val="both"/>
        <w:rPr>
          <w:rFonts w:ascii="Arial" w:hAnsi="Arial" w:cs="Arial"/>
          <w:b/>
        </w:rPr>
      </w:pPr>
      <w:r w:rsidRPr="009A3361">
        <w:rPr>
          <w:rFonts w:ascii="Arial" w:hAnsi="Arial" w:cs="Arial"/>
          <w:b/>
        </w:rPr>
        <w:t xml:space="preserve">Proposal 2 </w:t>
      </w:r>
      <w:r w:rsidRPr="009A3361">
        <w:rPr>
          <w:rFonts w:ascii="Arial" w:hAnsi="Arial" w:cs="Arial"/>
          <w:b/>
        </w:rPr>
        <w:tab/>
        <w:t xml:space="preserve">Smartening Customer Support </w:t>
      </w:r>
    </w:p>
    <w:p w:rsidR="005371C5" w:rsidRPr="009A3361" w:rsidRDefault="005371C5" w:rsidP="005371C5">
      <w:pPr>
        <w:ind w:left="1701" w:hanging="1559"/>
        <w:jc w:val="both"/>
        <w:rPr>
          <w:rFonts w:ascii="Arial" w:hAnsi="Arial" w:cs="Arial"/>
        </w:rPr>
      </w:pPr>
      <w:r w:rsidRPr="009A3361">
        <w:rPr>
          <w:rFonts w:ascii="Arial" w:hAnsi="Arial" w:cs="Arial"/>
        </w:rPr>
        <w:t xml:space="preserve">Objective: </w:t>
      </w:r>
      <w:r w:rsidRPr="009A3361">
        <w:rPr>
          <w:rFonts w:ascii="Arial" w:hAnsi="Arial" w:cs="Arial"/>
        </w:rPr>
        <w:tab/>
        <w:t>analyse the customer relation and customer support associated with automation and smart systems</w:t>
      </w:r>
      <w:r w:rsidRPr="009A3361">
        <w:rPr>
          <w:rFonts w:ascii="Arial" w:hAnsi="Arial" w:cs="Arial"/>
        </w:rPr>
        <w:tab/>
      </w:r>
    </w:p>
    <w:p w:rsidR="005371C5" w:rsidRPr="009A3361" w:rsidRDefault="005371C5" w:rsidP="005371C5">
      <w:pPr>
        <w:spacing w:after="0" w:line="240" w:lineRule="auto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>To make a research and create a pier-list report of European DSO, showing their current level of service and providing understanding of what is the best and what is “enough” level of DSO customer support</w:t>
      </w:r>
      <w:r w:rsidRPr="009A3361">
        <w:rPr>
          <w:rFonts w:ascii="Arial" w:hAnsi="Arial" w:cs="Arial"/>
          <w:lang w:val="en-US"/>
        </w:rPr>
        <w:t xml:space="preserve">. 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Automation service features and indicators: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IVR features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Self service area on web site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Mobile APP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Chat bots/ AI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Special</w:t>
      </w:r>
      <w:r>
        <w:rPr>
          <w:sz w:val="22"/>
          <w:szCs w:val="22"/>
          <w:lang w:val="en-US"/>
        </w:rPr>
        <w:t xml:space="preserve"> solutions for brigades (for fi</w:t>
      </w:r>
      <w:r w:rsidRPr="009A3361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l</w:t>
      </w:r>
      <w:r w:rsidRPr="009A3361">
        <w:rPr>
          <w:sz w:val="22"/>
          <w:szCs w:val="22"/>
          <w:lang w:val="en-US"/>
        </w:rPr>
        <w:t>d staff)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Human service options and Service levels: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Contact Center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Social Media support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Office staff etc.</w:t>
      </w:r>
    </w:p>
    <w:p w:rsidR="005371C5" w:rsidRPr="009A3361" w:rsidRDefault="005371C5" w:rsidP="005371C5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lastRenderedPageBreak/>
        <w:t>Core business operation indicators and features: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Terms and options for new connection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Terms and options for customer meters operations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Terms and options for new Contract conclusion</w:t>
      </w:r>
    </w:p>
    <w:p w:rsidR="005371C5" w:rsidRPr="009A3361" w:rsidRDefault="005371C5" w:rsidP="005371C5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left"/>
        <w:rPr>
          <w:sz w:val="22"/>
          <w:szCs w:val="22"/>
          <w:lang w:val="en-US"/>
        </w:rPr>
      </w:pPr>
      <w:r w:rsidRPr="009A3361">
        <w:rPr>
          <w:sz w:val="22"/>
          <w:szCs w:val="22"/>
          <w:lang w:val="en-US"/>
        </w:rPr>
        <w:t>SAIFI and terms of power supply recovery.</w:t>
      </w:r>
    </w:p>
    <w:p w:rsidR="005371C5" w:rsidRPr="009A3361" w:rsidRDefault="005371C5" w:rsidP="005371C5">
      <w:pPr>
        <w:ind w:left="3540" w:hanging="3540"/>
        <w:jc w:val="both"/>
        <w:rPr>
          <w:rFonts w:ascii="Arial" w:hAnsi="Arial" w:cs="Arial"/>
          <w:lang w:val="en-US"/>
        </w:rPr>
      </w:pPr>
    </w:p>
    <w:p w:rsidR="005371C5" w:rsidRPr="009A3361" w:rsidRDefault="005371C5" w:rsidP="005371C5">
      <w:pPr>
        <w:pBdr>
          <w:bottom w:val="single" w:sz="4" w:space="1" w:color="auto"/>
        </w:pBdr>
        <w:ind w:left="3540" w:hanging="3540"/>
        <w:jc w:val="both"/>
        <w:rPr>
          <w:rFonts w:ascii="Arial" w:hAnsi="Arial" w:cs="Arial"/>
          <w:b/>
        </w:rPr>
      </w:pPr>
      <w:r w:rsidRPr="009A3361">
        <w:rPr>
          <w:rFonts w:ascii="Arial" w:hAnsi="Arial" w:cs="Arial"/>
          <w:b/>
        </w:rPr>
        <w:t xml:space="preserve">Proposal 3. Impact of active customers (prosumers) on distribution grid </w:t>
      </w:r>
    </w:p>
    <w:p w:rsidR="005371C5" w:rsidRPr="009A3361" w:rsidRDefault="005371C5" w:rsidP="005371C5">
      <w:pPr>
        <w:ind w:left="1418" w:hanging="1418"/>
        <w:rPr>
          <w:rFonts w:ascii="Arial" w:hAnsi="Arial" w:cs="Arial"/>
        </w:rPr>
      </w:pPr>
      <w:r w:rsidRPr="009A3361"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  <w:t>C</w:t>
      </w:r>
      <w:r w:rsidRPr="009A3361">
        <w:rPr>
          <w:rFonts w:ascii="Arial" w:hAnsi="Arial" w:cs="Arial"/>
        </w:rPr>
        <w:t xml:space="preserve">omprehensive analysis and assessment of technical and financial impact of prosumers' connection for DSO operation </w:t>
      </w:r>
    </w:p>
    <w:p w:rsidR="005371C5" w:rsidRDefault="005371C5" w:rsidP="005371C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A3361">
        <w:rPr>
          <w:sz w:val="22"/>
          <w:szCs w:val="22"/>
        </w:rPr>
        <w:t xml:space="preserve">Based on the definitions from adopted Directives on internal market and renewable  energy sources, and connection network codes, </w:t>
      </w:r>
    </w:p>
    <w:p w:rsidR="005371C5" w:rsidRPr="009A3361" w:rsidRDefault="005371C5" w:rsidP="005371C5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A3361">
        <w:rPr>
          <w:sz w:val="22"/>
          <w:szCs w:val="22"/>
        </w:rPr>
        <w:t>prepare an overview of legal status and roles of active customers;</w:t>
      </w:r>
    </w:p>
    <w:p w:rsidR="005371C5" w:rsidRPr="009A3361" w:rsidRDefault="005371C5" w:rsidP="005371C5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A3361">
        <w:rPr>
          <w:sz w:val="22"/>
          <w:szCs w:val="22"/>
        </w:rPr>
        <w:t xml:space="preserve">present an overview of status and experience </w:t>
      </w:r>
      <w:r>
        <w:rPr>
          <w:sz w:val="22"/>
          <w:szCs w:val="22"/>
        </w:rPr>
        <w:t>with</w:t>
      </w:r>
      <w:r w:rsidRPr="009A3361">
        <w:rPr>
          <w:sz w:val="22"/>
          <w:szCs w:val="22"/>
        </w:rPr>
        <w:t xml:space="preserve"> active customer's connection </w:t>
      </w:r>
      <w:r>
        <w:rPr>
          <w:sz w:val="22"/>
          <w:szCs w:val="22"/>
        </w:rPr>
        <w:t xml:space="preserve">and roles </w:t>
      </w:r>
      <w:r w:rsidRPr="009A3361">
        <w:rPr>
          <w:sz w:val="22"/>
          <w:szCs w:val="22"/>
        </w:rPr>
        <w:t>in EU MSs, lesson learned and problems identified</w:t>
      </w:r>
    </w:p>
    <w:p w:rsidR="005371C5" w:rsidRPr="009A3361" w:rsidRDefault="005371C5" w:rsidP="005371C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A3361">
        <w:rPr>
          <w:sz w:val="22"/>
          <w:szCs w:val="22"/>
        </w:rPr>
        <w:t>Recommendations of requirements and procedure for active customers connection to the grid, including definition of protection system, metering system, interaction with other network users and market participants;</w:t>
      </w:r>
    </w:p>
    <w:p w:rsidR="005371C5" w:rsidRDefault="005371C5" w:rsidP="005371C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A3361">
        <w:rPr>
          <w:sz w:val="22"/>
          <w:szCs w:val="22"/>
        </w:rPr>
        <w:t xml:space="preserve">Assessment of active customers' impact on DSO revenues and recommendations </w:t>
      </w:r>
    </w:p>
    <w:p w:rsidR="005371C5" w:rsidRDefault="005371C5" w:rsidP="005371C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Workshops </w:t>
      </w:r>
    </w:p>
    <w:p w:rsidR="005371C5" w:rsidRDefault="005371C5" w:rsidP="005371C5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definition of technical requirements for connection (for DSO and for customer)</w:t>
      </w:r>
    </w:p>
    <w:p w:rsidR="005371C5" w:rsidRPr="009A3361" w:rsidRDefault="005371C5" w:rsidP="005371C5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assessment of financial impact on DSO revenues and fair cost allocation.</w:t>
      </w:r>
    </w:p>
    <w:p w:rsidR="005371C5" w:rsidRPr="009A3361" w:rsidRDefault="005371C5" w:rsidP="005371C5">
      <w:pPr>
        <w:rPr>
          <w:rFonts w:ascii="Arial" w:hAnsi="Arial" w:cs="Arial"/>
        </w:rPr>
      </w:pPr>
    </w:p>
    <w:p w:rsidR="005371C5" w:rsidRPr="009A3361" w:rsidRDefault="005371C5" w:rsidP="005371C5">
      <w:pPr>
        <w:pBdr>
          <w:bottom w:val="single" w:sz="4" w:space="1" w:color="auto"/>
        </w:pBdr>
        <w:rPr>
          <w:rFonts w:ascii="Arial" w:hAnsi="Arial" w:cs="Arial"/>
        </w:rPr>
      </w:pPr>
      <w:r w:rsidRPr="009A3361">
        <w:rPr>
          <w:rFonts w:ascii="Arial" w:hAnsi="Arial" w:cs="Arial"/>
        </w:rPr>
        <w:t xml:space="preserve">Proposal 4  </w:t>
      </w:r>
      <w:r w:rsidRPr="009A3361">
        <w:rPr>
          <w:rFonts w:ascii="Arial" w:hAnsi="Arial" w:cs="Arial"/>
        </w:rPr>
        <w:tab/>
      </w:r>
      <w:r w:rsidRPr="009A3361">
        <w:rPr>
          <w:rFonts w:ascii="Arial" w:hAnsi="Arial" w:cs="Arial"/>
        </w:rPr>
        <w:tab/>
        <w:t xml:space="preserve">Challenges of transition to electric heating </w:t>
      </w:r>
    </w:p>
    <w:p w:rsidR="005371C5" w:rsidRPr="009A3361" w:rsidRDefault="005371C5" w:rsidP="005371C5">
      <w:pPr>
        <w:spacing w:after="0" w:line="240" w:lineRule="auto"/>
        <w:ind w:left="405"/>
        <w:rPr>
          <w:rFonts w:ascii="Arial" w:hAnsi="Arial" w:cs="Arial"/>
          <w:b/>
          <w:bCs/>
          <w:lang w:val="en-US"/>
        </w:rPr>
      </w:pPr>
      <w:r w:rsidRPr="009A3361">
        <w:rPr>
          <w:rFonts w:ascii="Arial" w:hAnsi="Arial" w:cs="Arial"/>
          <w:b/>
          <w:bCs/>
          <w:lang w:val="en-US"/>
        </w:rPr>
        <w:t>Development of the network with the transition of the country to electric heating</w:t>
      </w:r>
      <w:r w:rsidRPr="009A3361">
        <w:rPr>
          <w:rFonts w:ascii="Arial" w:hAnsi="Arial" w:cs="Arial"/>
          <w:lang w:val="en-US"/>
        </w:rPr>
        <w:t xml:space="preserve"> </w:t>
      </w:r>
    </w:p>
    <w:p w:rsidR="005371C5" w:rsidRPr="009A3361" w:rsidRDefault="005371C5" w:rsidP="005371C5">
      <w:pPr>
        <w:numPr>
          <w:ilvl w:val="1"/>
          <w:numId w:val="2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market analysis with forecasts for the transition to electric heating</w:t>
      </w:r>
    </w:p>
    <w:p w:rsidR="005371C5" w:rsidRPr="009A3361" w:rsidRDefault="005371C5" w:rsidP="005371C5">
      <w:pPr>
        <w:numPr>
          <w:ilvl w:val="1"/>
          <w:numId w:val="2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predictive assessment of network development in case of transition</w:t>
      </w:r>
    </w:p>
    <w:p w:rsidR="005371C5" w:rsidRPr="009A3361" w:rsidRDefault="005371C5" w:rsidP="005371C5">
      <w:pPr>
        <w:numPr>
          <w:ilvl w:val="1"/>
          <w:numId w:val="2"/>
        </w:numPr>
        <w:spacing w:after="0" w:line="240" w:lineRule="auto"/>
        <w:ind w:left="1530"/>
        <w:rPr>
          <w:rFonts w:ascii="Arial" w:hAnsi="Arial" w:cs="Arial"/>
          <w:lang w:val="en-US"/>
        </w:rPr>
      </w:pPr>
      <w:r w:rsidRPr="009A3361">
        <w:rPr>
          <w:rFonts w:ascii="Arial" w:hAnsi="Arial" w:cs="Arial"/>
          <w:lang w:val="en-US"/>
        </w:rPr>
        <w:t>possible sources of funding for network development</w:t>
      </w:r>
    </w:p>
    <w:p w:rsidR="005371C5" w:rsidRPr="009A3361" w:rsidRDefault="005371C5" w:rsidP="005371C5">
      <w:pPr>
        <w:numPr>
          <w:ilvl w:val="1"/>
          <w:numId w:val="2"/>
        </w:numPr>
        <w:spacing w:after="0" w:line="240" w:lineRule="auto"/>
        <w:ind w:left="1530"/>
        <w:rPr>
          <w:rFonts w:ascii="Arial" w:hAnsi="Arial" w:cs="Arial"/>
          <w:lang w:val="en-US"/>
        </w:rPr>
      </w:pPr>
      <w:proofErr w:type="gramStart"/>
      <w:r w:rsidRPr="009A3361">
        <w:rPr>
          <w:rFonts w:ascii="Arial" w:hAnsi="Arial" w:cs="Arial"/>
          <w:lang w:val="en-US"/>
        </w:rPr>
        <w:t>standard</w:t>
      </w:r>
      <w:proofErr w:type="gramEnd"/>
      <w:r w:rsidRPr="009A3361">
        <w:rPr>
          <w:rFonts w:ascii="Arial" w:hAnsi="Arial" w:cs="Arial"/>
          <w:lang w:val="en-US"/>
        </w:rPr>
        <w:t xml:space="preserve"> for calculating the technical capabilities of the network (TC) in the event of a new client contacting.</w:t>
      </w:r>
    </w:p>
    <w:p w:rsidR="005371C5" w:rsidRPr="009A3361" w:rsidRDefault="005371C5" w:rsidP="005371C5">
      <w:pPr>
        <w:ind w:left="3540" w:hanging="3540"/>
        <w:jc w:val="both"/>
        <w:rPr>
          <w:rFonts w:ascii="Arial" w:hAnsi="Arial" w:cs="Arial"/>
          <w:lang w:val="en-US"/>
        </w:rPr>
      </w:pPr>
    </w:p>
    <w:p w:rsidR="005371C5" w:rsidRPr="009A3361" w:rsidRDefault="005371C5" w:rsidP="005371C5">
      <w:pPr>
        <w:rPr>
          <w:rFonts w:ascii="Arial" w:hAnsi="Arial" w:cs="Arial"/>
          <w:lang w:val="en-US"/>
        </w:rPr>
      </w:pPr>
    </w:p>
    <w:p w:rsidR="00827876" w:rsidRPr="001E5F6C" w:rsidRDefault="00827876">
      <w:pPr>
        <w:rPr>
          <w:lang w:val="en-US"/>
        </w:rPr>
      </w:pPr>
    </w:p>
    <w:sectPr w:rsidR="00827876" w:rsidRPr="001E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81" w:rsidRDefault="004C0281" w:rsidP="001E5F6C">
      <w:pPr>
        <w:spacing w:after="0" w:line="240" w:lineRule="auto"/>
      </w:pPr>
      <w:r>
        <w:separator/>
      </w:r>
    </w:p>
  </w:endnote>
  <w:endnote w:type="continuationSeparator" w:id="0">
    <w:p w:rsidR="004C0281" w:rsidRDefault="004C0281" w:rsidP="001E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81" w:rsidRDefault="004C0281" w:rsidP="001E5F6C">
      <w:pPr>
        <w:spacing w:after="0" w:line="240" w:lineRule="auto"/>
      </w:pPr>
      <w:r>
        <w:separator/>
      </w:r>
    </w:p>
  </w:footnote>
  <w:footnote w:type="continuationSeparator" w:id="0">
    <w:p w:rsidR="004C0281" w:rsidRDefault="004C0281" w:rsidP="001E5F6C">
      <w:pPr>
        <w:spacing w:after="0" w:line="240" w:lineRule="auto"/>
      </w:pPr>
      <w:r>
        <w:continuationSeparator/>
      </w:r>
    </w:p>
  </w:footnote>
  <w:footnote w:id="1">
    <w:p w:rsidR="005371C5" w:rsidRPr="0060455C" w:rsidRDefault="005371C5" w:rsidP="005371C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lang w:val="en-US"/>
        </w:rPr>
        <w:t>EU4Energy, M</w:t>
      </w:r>
      <w:r w:rsidRPr="0060455C">
        <w:rPr>
          <w:bCs/>
          <w:lang w:val="en-US"/>
        </w:rPr>
        <w:t>oldova</w:t>
      </w:r>
      <w:r>
        <w:rPr>
          <w:bCs/>
          <w:lang w:val="en-US"/>
        </w:rPr>
        <w:t xml:space="preserve"> project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669"/>
    <w:multiLevelType w:val="hybridMultilevel"/>
    <w:tmpl w:val="DCDA106A"/>
    <w:lvl w:ilvl="0" w:tplc="0FDCE0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383C"/>
    <w:multiLevelType w:val="hybridMultilevel"/>
    <w:tmpl w:val="DB9A66CC"/>
    <w:lvl w:ilvl="0" w:tplc="2A7C50E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85" w:hanging="360"/>
      </w:pPr>
    </w:lvl>
    <w:lvl w:ilvl="2" w:tplc="0422001B">
      <w:start w:val="1"/>
      <w:numFmt w:val="lowerRoman"/>
      <w:lvlText w:val="%3."/>
      <w:lvlJc w:val="right"/>
      <w:pPr>
        <w:ind w:left="2205" w:hanging="180"/>
      </w:pPr>
    </w:lvl>
    <w:lvl w:ilvl="3" w:tplc="0422000F">
      <w:start w:val="1"/>
      <w:numFmt w:val="decimal"/>
      <w:lvlText w:val="%4."/>
      <w:lvlJc w:val="left"/>
      <w:pPr>
        <w:ind w:left="2925" w:hanging="360"/>
      </w:pPr>
    </w:lvl>
    <w:lvl w:ilvl="4" w:tplc="04220019">
      <w:start w:val="1"/>
      <w:numFmt w:val="lowerLetter"/>
      <w:lvlText w:val="%5."/>
      <w:lvlJc w:val="left"/>
      <w:pPr>
        <w:ind w:left="3645" w:hanging="360"/>
      </w:pPr>
    </w:lvl>
    <w:lvl w:ilvl="5" w:tplc="0422001B">
      <w:start w:val="1"/>
      <w:numFmt w:val="lowerRoman"/>
      <w:lvlText w:val="%6."/>
      <w:lvlJc w:val="right"/>
      <w:pPr>
        <w:ind w:left="4365" w:hanging="180"/>
      </w:pPr>
    </w:lvl>
    <w:lvl w:ilvl="6" w:tplc="0422000F">
      <w:start w:val="1"/>
      <w:numFmt w:val="decimal"/>
      <w:lvlText w:val="%7."/>
      <w:lvlJc w:val="left"/>
      <w:pPr>
        <w:ind w:left="5085" w:hanging="360"/>
      </w:pPr>
    </w:lvl>
    <w:lvl w:ilvl="7" w:tplc="04220019">
      <w:start w:val="1"/>
      <w:numFmt w:val="lowerLetter"/>
      <w:lvlText w:val="%8."/>
      <w:lvlJc w:val="left"/>
      <w:pPr>
        <w:ind w:left="5805" w:hanging="360"/>
      </w:pPr>
    </w:lvl>
    <w:lvl w:ilvl="8" w:tplc="0422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46304B1"/>
    <w:multiLevelType w:val="hybridMultilevel"/>
    <w:tmpl w:val="E23CB26E"/>
    <w:lvl w:ilvl="0" w:tplc="0422000F">
      <w:start w:val="1"/>
      <w:numFmt w:val="decimal"/>
      <w:lvlText w:val="%1."/>
      <w:lvlJc w:val="left"/>
      <w:pPr>
        <w:ind w:left="765" w:hanging="360"/>
      </w:pPr>
    </w:lvl>
    <w:lvl w:ilvl="1" w:tplc="04220019">
      <w:start w:val="1"/>
      <w:numFmt w:val="lowerLetter"/>
      <w:lvlText w:val="%2."/>
      <w:lvlJc w:val="left"/>
      <w:pPr>
        <w:ind w:left="1485" w:hanging="360"/>
      </w:pPr>
    </w:lvl>
    <w:lvl w:ilvl="2" w:tplc="0422001B">
      <w:start w:val="1"/>
      <w:numFmt w:val="lowerRoman"/>
      <w:lvlText w:val="%3."/>
      <w:lvlJc w:val="right"/>
      <w:pPr>
        <w:ind w:left="2205" w:hanging="180"/>
      </w:pPr>
    </w:lvl>
    <w:lvl w:ilvl="3" w:tplc="0422000F">
      <w:start w:val="1"/>
      <w:numFmt w:val="decimal"/>
      <w:lvlText w:val="%4."/>
      <w:lvlJc w:val="left"/>
      <w:pPr>
        <w:ind w:left="2925" w:hanging="360"/>
      </w:pPr>
    </w:lvl>
    <w:lvl w:ilvl="4" w:tplc="04220019">
      <w:start w:val="1"/>
      <w:numFmt w:val="lowerLetter"/>
      <w:lvlText w:val="%5."/>
      <w:lvlJc w:val="left"/>
      <w:pPr>
        <w:ind w:left="3645" w:hanging="360"/>
      </w:pPr>
    </w:lvl>
    <w:lvl w:ilvl="5" w:tplc="0422001B">
      <w:start w:val="1"/>
      <w:numFmt w:val="lowerRoman"/>
      <w:lvlText w:val="%6."/>
      <w:lvlJc w:val="right"/>
      <w:pPr>
        <w:ind w:left="4365" w:hanging="180"/>
      </w:pPr>
    </w:lvl>
    <w:lvl w:ilvl="6" w:tplc="0422000F">
      <w:start w:val="1"/>
      <w:numFmt w:val="decimal"/>
      <w:lvlText w:val="%7."/>
      <w:lvlJc w:val="left"/>
      <w:pPr>
        <w:ind w:left="5085" w:hanging="360"/>
      </w:pPr>
    </w:lvl>
    <w:lvl w:ilvl="7" w:tplc="04220019">
      <w:start w:val="1"/>
      <w:numFmt w:val="lowerLetter"/>
      <w:lvlText w:val="%8."/>
      <w:lvlJc w:val="left"/>
      <w:pPr>
        <w:ind w:left="5805" w:hanging="360"/>
      </w:pPr>
    </w:lvl>
    <w:lvl w:ilvl="8" w:tplc="0422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6C"/>
    <w:rsid w:val="00093938"/>
    <w:rsid w:val="001E5F6C"/>
    <w:rsid w:val="00277D7B"/>
    <w:rsid w:val="002E1D24"/>
    <w:rsid w:val="0032289C"/>
    <w:rsid w:val="00384C8B"/>
    <w:rsid w:val="004C0281"/>
    <w:rsid w:val="005371C5"/>
    <w:rsid w:val="005A283B"/>
    <w:rsid w:val="006622E6"/>
    <w:rsid w:val="00812108"/>
    <w:rsid w:val="00827876"/>
    <w:rsid w:val="00894DBB"/>
    <w:rsid w:val="008E3F01"/>
    <w:rsid w:val="00D83EFF"/>
    <w:rsid w:val="00DA6483"/>
    <w:rsid w:val="00DC76EA"/>
    <w:rsid w:val="00F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A1571"/>
  <w15:chartTrackingRefBased/>
  <w15:docId w15:val="{531422F7-51E4-4C8A-8D5C-43B9C3F9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C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5F6C"/>
    <w:pPr>
      <w:ind w:left="720"/>
      <w:contextualSpacing/>
      <w:jc w:val="both"/>
    </w:pPr>
    <w:rPr>
      <w:rFonts w:ascii="Arial" w:hAnsi="Arial" w:cs="Arial"/>
      <w:sz w:val="24"/>
      <w:szCs w:val="24"/>
      <w:lang w:val="bs-Latn-BA"/>
    </w:rPr>
  </w:style>
  <w:style w:type="character" w:customStyle="1" w:styleId="ListParagraphChar">
    <w:name w:val="List Paragraph Char"/>
    <w:link w:val="ListParagraph"/>
    <w:uiPriority w:val="34"/>
    <w:locked/>
    <w:rsid w:val="001E5F6C"/>
    <w:rPr>
      <w:rFonts w:ascii="Arial" w:hAnsi="Arial" w:cs="Arial"/>
      <w:sz w:val="24"/>
      <w:szCs w:val="24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6C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E5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Mumovic</dc:creator>
  <cp:keywords/>
  <dc:description/>
  <cp:lastModifiedBy>Milka Mumovic</cp:lastModifiedBy>
  <cp:revision>2</cp:revision>
  <dcterms:created xsi:type="dcterms:W3CDTF">2022-11-03T14:04:00Z</dcterms:created>
  <dcterms:modified xsi:type="dcterms:W3CDTF">2022-11-03T14:04:00Z</dcterms:modified>
</cp:coreProperties>
</file>