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2B" w:rsidRPr="00975F04" w:rsidRDefault="00F101AE" w:rsidP="00F101AE">
      <w:pPr>
        <w:pStyle w:val="Title"/>
        <w:spacing w:after="360"/>
        <w:rPr>
          <w:lang w:val="en-GB"/>
        </w:rPr>
      </w:pPr>
      <w:r w:rsidRPr="00975F04">
        <w:rPr>
          <w:lang w:val="en-GB"/>
        </w:rPr>
        <w:t xml:space="preserve">Smart systems </w:t>
      </w:r>
      <w:r w:rsidR="00E621A9">
        <w:rPr>
          <w:lang w:val="en-GB"/>
        </w:rPr>
        <w:t>and</w:t>
      </w:r>
      <w:bookmarkStart w:id="0" w:name="_GoBack"/>
      <w:bookmarkEnd w:id="0"/>
      <w:r w:rsidR="00E621A9">
        <w:rPr>
          <w:lang w:val="en-GB"/>
        </w:rPr>
        <w:t xml:space="preserve"> </w:t>
      </w:r>
      <w:r w:rsidR="00B24AE7" w:rsidRPr="00975F04">
        <w:rPr>
          <w:lang w:val="en-GB"/>
        </w:rPr>
        <w:t>customers</w:t>
      </w:r>
      <w:r w:rsidR="00E621A9">
        <w:rPr>
          <w:lang w:val="en-GB"/>
        </w:rPr>
        <w:t>’ support</w:t>
      </w:r>
    </w:p>
    <w:p w:rsidR="00772D6D" w:rsidRPr="00975F04" w:rsidRDefault="00772D6D" w:rsidP="00E10D2E">
      <w:pPr>
        <w:pStyle w:val="Heading1"/>
        <w:rPr>
          <w:lang w:val="en-GB"/>
        </w:rPr>
      </w:pPr>
      <w:r w:rsidRPr="00975F04">
        <w:rPr>
          <w:lang w:val="en-GB"/>
        </w:rPr>
        <w:t>Terms of reference</w:t>
      </w:r>
    </w:p>
    <w:p w:rsidR="00772D6D" w:rsidRPr="00975F04" w:rsidRDefault="00772D6D" w:rsidP="00E10D2E">
      <w:pPr>
        <w:pStyle w:val="Heading2"/>
      </w:pPr>
      <w:r w:rsidRPr="00975F04">
        <w:t xml:space="preserve">Objectives of the project </w:t>
      </w:r>
    </w:p>
    <w:p w:rsidR="00975F04" w:rsidRPr="00975F04" w:rsidRDefault="00975F04" w:rsidP="001A3964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First</w:t>
      </w:r>
      <w:r w:rsidR="00772D6D" w:rsidRPr="00975F04">
        <w:rPr>
          <w:sz w:val="22"/>
          <w:szCs w:val="22"/>
          <w:lang w:val="en-GB"/>
        </w:rPr>
        <w:t xml:space="preserve"> object</w:t>
      </w:r>
      <w:r w:rsidR="00513EE6" w:rsidRPr="00975F04">
        <w:rPr>
          <w:sz w:val="22"/>
          <w:szCs w:val="22"/>
          <w:lang w:val="en-GB"/>
        </w:rPr>
        <w:t>ive of this project is to analys</w:t>
      </w:r>
      <w:r w:rsidR="00772D6D" w:rsidRPr="00975F04">
        <w:rPr>
          <w:sz w:val="22"/>
          <w:szCs w:val="22"/>
          <w:lang w:val="en-GB"/>
        </w:rPr>
        <w:t>e the status and options for implementation of smart meter roll</w:t>
      </w:r>
      <w:r w:rsidR="00600F41" w:rsidRPr="00975F04">
        <w:rPr>
          <w:sz w:val="22"/>
          <w:szCs w:val="22"/>
          <w:lang w:val="en-GB"/>
        </w:rPr>
        <w:t>-</w:t>
      </w:r>
      <w:r w:rsidR="00772D6D" w:rsidRPr="00975F04">
        <w:rPr>
          <w:sz w:val="22"/>
          <w:szCs w:val="22"/>
          <w:lang w:val="en-GB"/>
        </w:rPr>
        <w:t xml:space="preserve">out policy and implementation strategy based on the most effective use of the smart meters </w:t>
      </w:r>
      <w:r w:rsidR="00476642" w:rsidRPr="00975F04">
        <w:rPr>
          <w:sz w:val="22"/>
          <w:szCs w:val="22"/>
          <w:lang w:val="en-GB"/>
        </w:rPr>
        <w:t>for</w:t>
      </w:r>
      <w:r w:rsidR="00772D6D" w:rsidRPr="00975F04">
        <w:rPr>
          <w:sz w:val="22"/>
          <w:szCs w:val="22"/>
          <w:lang w:val="en-GB"/>
        </w:rPr>
        <w:t xml:space="preserve"> optimiz</w:t>
      </w:r>
      <w:r w:rsidR="00862BD3" w:rsidRPr="00975F04">
        <w:rPr>
          <w:sz w:val="22"/>
          <w:szCs w:val="22"/>
          <w:lang w:val="en-GB"/>
        </w:rPr>
        <w:t xml:space="preserve">ing </w:t>
      </w:r>
      <w:r w:rsidR="00772D6D" w:rsidRPr="00975F04">
        <w:rPr>
          <w:sz w:val="22"/>
          <w:szCs w:val="22"/>
          <w:lang w:val="en-GB"/>
        </w:rPr>
        <w:t xml:space="preserve">the grid </w:t>
      </w:r>
      <w:r w:rsidR="00862BD3" w:rsidRPr="00975F04">
        <w:rPr>
          <w:sz w:val="22"/>
          <w:szCs w:val="22"/>
          <w:lang w:val="en-GB"/>
        </w:rPr>
        <w:t xml:space="preserve">and </w:t>
      </w:r>
      <w:r w:rsidRPr="00975F04">
        <w:rPr>
          <w:sz w:val="22"/>
          <w:szCs w:val="22"/>
          <w:lang w:val="en-GB"/>
        </w:rPr>
        <w:t xml:space="preserve">facilitate transition to grid automation. </w:t>
      </w:r>
    </w:p>
    <w:p w:rsidR="00975F04" w:rsidRDefault="00975F04" w:rsidP="001A3964">
      <w:pPr>
        <w:pStyle w:val="Default"/>
        <w:jc w:val="both"/>
        <w:rPr>
          <w:sz w:val="22"/>
          <w:szCs w:val="22"/>
          <w:lang w:val="en-GB"/>
        </w:rPr>
      </w:pPr>
      <w:r w:rsidRPr="00975F04">
        <w:rPr>
          <w:sz w:val="22"/>
          <w:szCs w:val="22"/>
          <w:lang w:val="en-GB"/>
        </w:rPr>
        <w:t>Second objective is to analyse the customer relation and customer support associated with automation and smart systems</w:t>
      </w:r>
      <w:r>
        <w:rPr>
          <w:sz w:val="22"/>
          <w:szCs w:val="22"/>
          <w:lang w:val="en-GB"/>
        </w:rPr>
        <w:t>.</w:t>
      </w:r>
      <w:r w:rsidRPr="00975F04">
        <w:rPr>
          <w:sz w:val="22"/>
          <w:szCs w:val="22"/>
          <w:lang w:val="en-GB"/>
        </w:rPr>
        <w:t xml:space="preserve"> </w:t>
      </w:r>
    </w:p>
    <w:p w:rsidR="00975F04" w:rsidRPr="00975F04" w:rsidRDefault="00975F04" w:rsidP="00975F04">
      <w:pPr>
        <w:pStyle w:val="Defaul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Both objectives are intended to </w:t>
      </w:r>
      <w:r w:rsidRPr="00975F04">
        <w:rPr>
          <w:sz w:val="22"/>
          <w:szCs w:val="22"/>
          <w:lang w:val="en-GB"/>
        </w:rPr>
        <w:t xml:space="preserve">empower consumers in </w:t>
      </w:r>
      <w:r>
        <w:rPr>
          <w:sz w:val="22"/>
          <w:szCs w:val="22"/>
          <w:lang w:val="en-GB"/>
        </w:rPr>
        <w:t xml:space="preserve">the </w:t>
      </w:r>
      <w:r w:rsidRPr="00975F04">
        <w:rPr>
          <w:sz w:val="22"/>
          <w:szCs w:val="22"/>
          <w:lang w:val="en-GB"/>
        </w:rPr>
        <w:t xml:space="preserve">Energy Community Contracting Parties, as well as to present the good practices of the EU DSOs concerning </w:t>
      </w:r>
      <w:r>
        <w:rPr>
          <w:sz w:val="22"/>
          <w:szCs w:val="22"/>
          <w:lang w:val="en-GB"/>
        </w:rPr>
        <w:t xml:space="preserve">smart meters, </w:t>
      </w:r>
      <w:r w:rsidRPr="00975F04">
        <w:rPr>
          <w:sz w:val="22"/>
          <w:szCs w:val="22"/>
          <w:lang w:val="en-GB"/>
        </w:rPr>
        <w:t xml:space="preserve">grid and consumer support automation. </w:t>
      </w:r>
    </w:p>
    <w:p w:rsidR="00773D50" w:rsidRPr="00975F04" w:rsidRDefault="00773D50" w:rsidP="00E10D2E">
      <w:pPr>
        <w:pStyle w:val="Heading2"/>
      </w:pPr>
      <w:r w:rsidRPr="00975F04">
        <w:t>Expected outputs</w:t>
      </w:r>
    </w:p>
    <w:p w:rsidR="005B7404" w:rsidRPr="00975F04" w:rsidRDefault="004070FE" w:rsidP="00D67EFE">
      <w:pPr>
        <w:rPr>
          <w:rFonts w:eastAsia="Times New Roman" w:cs="Arial"/>
          <w:color w:val="000000"/>
        </w:rPr>
      </w:pPr>
      <w:r w:rsidRPr="00975F04">
        <w:t>This proj</w:t>
      </w:r>
      <w:r w:rsidR="00CB61D9" w:rsidRPr="00975F04">
        <w:t>ect shall deliver t</w:t>
      </w:r>
      <w:r w:rsidR="00773D50" w:rsidRPr="00975F04">
        <w:rPr>
          <w:rFonts w:eastAsia="Times New Roman" w:cs="Arial"/>
          <w:color w:val="000000"/>
        </w:rPr>
        <w:t xml:space="preserve">he </w:t>
      </w:r>
      <w:r w:rsidR="008947AF" w:rsidRPr="00975F04">
        <w:rPr>
          <w:rFonts w:eastAsia="Times New Roman" w:cs="Arial"/>
          <w:i/>
          <w:color w:val="000000"/>
        </w:rPr>
        <w:t>Study on smar</w:t>
      </w:r>
      <w:r w:rsidR="00A62A28">
        <w:rPr>
          <w:rFonts w:eastAsia="Times New Roman" w:cs="Arial"/>
          <w:i/>
          <w:color w:val="000000"/>
        </w:rPr>
        <w:t>t</w:t>
      </w:r>
      <w:r w:rsidR="008947AF" w:rsidRPr="00975F04">
        <w:rPr>
          <w:rFonts w:eastAsia="Times New Roman" w:cs="Arial"/>
          <w:i/>
          <w:color w:val="000000"/>
        </w:rPr>
        <w:t xml:space="preserve"> </w:t>
      </w:r>
      <w:r w:rsidR="00A62A28">
        <w:rPr>
          <w:rFonts w:eastAsia="Times New Roman" w:cs="Arial"/>
          <w:i/>
          <w:color w:val="000000"/>
        </w:rPr>
        <w:t>systems to empower customers</w:t>
      </w:r>
      <w:r w:rsidR="005C15C8" w:rsidRPr="00975F04">
        <w:rPr>
          <w:rFonts w:eastAsia="Times New Roman" w:cs="Arial"/>
          <w:color w:val="000000"/>
        </w:rPr>
        <w:t xml:space="preserve"> that needs to give more information on the implementation of Directive 32019/944 concerning the smart systems and customer empowerment</w:t>
      </w:r>
      <w:r w:rsidR="00BC60E6" w:rsidRPr="00975F04">
        <w:rPr>
          <w:rFonts w:eastAsia="Times New Roman" w:cs="Arial"/>
          <w:color w:val="000000"/>
        </w:rPr>
        <w:t>,</w:t>
      </w:r>
      <w:r w:rsidR="005C15C8" w:rsidRPr="00975F04">
        <w:rPr>
          <w:rFonts w:eastAsia="Times New Roman" w:cs="Arial"/>
          <w:color w:val="000000"/>
        </w:rPr>
        <w:t xml:space="preserve"> as elaborated in </w:t>
      </w:r>
      <w:r w:rsidR="00CB61D9" w:rsidRPr="00975F04">
        <w:rPr>
          <w:rFonts w:eastAsia="Times New Roman" w:cs="Arial"/>
          <w:color w:val="000000"/>
        </w:rPr>
        <w:t xml:space="preserve">Section 2.1 </w:t>
      </w:r>
      <w:r w:rsidR="00216384" w:rsidRPr="00975F04">
        <w:rPr>
          <w:rFonts w:eastAsia="Times New Roman" w:cs="Arial"/>
          <w:color w:val="000000"/>
        </w:rPr>
        <w:t>of this document –</w:t>
      </w:r>
      <w:r w:rsidR="00CB61D9" w:rsidRPr="00975F04">
        <w:rPr>
          <w:rFonts w:eastAsia="Times New Roman" w:cs="Arial"/>
          <w:color w:val="000000"/>
        </w:rPr>
        <w:t xml:space="preserve"> </w:t>
      </w:r>
      <w:r w:rsidR="00CB61D9" w:rsidRPr="00975F04">
        <w:rPr>
          <w:rFonts w:eastAsia="Times New Roman" w:cs="Arial"/>
          <w:i/>
          <w:color w:val="000000"/>
        </w:rPr>
        <w:t>Specific work and schedule</w:t>
      </w:r>
      <w:r w:rsidR="00216384" w:rsidRPr="00975F04">
        <w:rPr>
          <w:rFonts w:eastAsia="Times New Roman" w:cs="Arial"/>
          <w:color w:val="000000"/>
        </w:rPr>
        <w:t xml:space="preserve"> (Task 1 and Task 2)</w:t>
      </w:r>
      <w:r w:rsidR="005C15C8" w:rsidRPr="00975F04">
        <w:rPr>
          <w:rFonts w:eastAsia="Times New Roman" w:cs="Arial"/>
          <w:color w:val="000000"/>
        </w:rPr>
        <w:t>.</w:t>
      </w:r>
      <w:r w:rsidR="00216384" w:rsidRPr="00975F04">
        <w:rPr>
          <w:rFonts w:eastAsia="Times New Roman" w:cs="Arial"/>
          <w:color w:val="000000"/>
        </w:rPr>
        <w:t xml:space="preserve"> Additionally, two </w:t>
      </w:r>
      <w:r w:rsidR="00A6312B" w:rsidRPr="00975F04">
        <w:rPr>
          <w:rFonts w:eastAsia="Times New Roman" w:cs="Arial"/>
          <w:color w:val="000000"/>
        </w:rPr>
        <w:t>workshops</w:t>
      </w:r>
      <w:r w:rsidR="00216384" w:rsidRPr="00975F04">
        <w:rPr>
          <w:rFonts w:eastAsia="Times New Roman" w:cs="Arial"/>
          <w:color w:val="000000"/>
        </w:rPr>
        <w:t xml:space="preserve"> shall be organized to present </w:t>
      </w:r>
      <w:r w:rsidR="002E5EBF" w:rsidRPr="00975F04">
        <w:rPr>
          <w:rFonts w:eastAsia="Times New Roman" w:cs="Arial"/>
          <w:color w:val="000000"/>
        </w:rPr>
        <w:t xml:space="preserve">the </w:t>
      </w:r>
      <w:r w:rsidR="00CB61D9" w:rsidRPr="00975F04">
        <w:rPr>
          <w:rFonts w:eastAsia="Times New Roman" w:cs="Arial"/>
          <w:color w:val="000000"/>
        </w:rPr>
        <w:t>Draft report on Task 1</w:t>
      </w:r>
      <w:r w:rsidR="00D67EFE" w:rsidRPr="00975F04">
        <w:rPr>
          <w:rFonts w:eastAsia="Times New Roman" w:cs="Arial"/>
          <w:color w:val="000000"/>
        </w:rPr>
        <w:t xml:space="preserve"> a</w:t>
      </w:r>
      <w:r w:rsidR="006126F2" w:rsidRPr="00975F04">
        <w:rPr>
          <w:rFonts w:eastAsia="Times New Roman" w:cs="Arial"/>
          <w:color w:val="000000"/>
        </w:rPr>
        <w:t xml:space="preserve">nd </w:t>
      </w:r>
      <w:r w:rsidR="005C15C8" w:rsidRPr="00975F04">
        <w:rPr>
          <w:rFonts w:eastAsia="Times New Roman" w:cs="Arial"/>
          <w:color w:val="000000"/>
        </w:rPr>
        <w:t xml:space="preserve">the </w:t>
      </w:r>
      <w:r w:rsidR="00CB61D9" w:rsidRPr="00975F04">
        <w:rPr>
          <w:rFonts w:eastAsia="Times New Roman" w:cs="Arial"/>
          <w:color w:val="000000"/>
        </w:rPr>
        <w:t>Draft report on Task 2</w:t>
      </w:r>
      <w:r w:rsidR="00104FE3" w:rsidRPr="00975F04">
        <w:rPr>
          <w:rFonts w:eastAsia="Times New Roman" w:cs="Arial"/>
          <w:color w:val="000000"/>
        </w:rPr>
        <w:t>.</w:t>
      </w:r>
      <w:r w:rsidR="005B7404" w:rsidRPr="00975F04">
        <w:rPr>
          <w:rFonts w:eastAsia="Times New Roman" w:cs="Arial"/>
          <w:color w:val="000000"/>
        </w:rPr>
        <w:t xml:space="preserve"> </w:t>
      </w:r>
    </w:p>
    <w:p w:rsidR="00505B4D" w:rsidRPr="00975F04" w:rsidRDefault="00505B4D" w:rsidP="00E10D2E">
      <w:pPr>
        <w:pStyle w:val="Heading2"/>
      </w:pPr>
      <w:r w:rsidRPr="00975F04">
        <w:t xml:space="preserve">Geographic area to be covered </w:t>
      </w:r>
    </w:p>
    <w:p w:rsidR="00505B4D" w:rsidRPr="00975F04" w:rsidRDefault="00505B4D" w:rsidP="00505B4D">
      <w:pPr>
        <w:rPr>
          <w:rFonts w:cs="Arial"/>
        </w:rPr>
      </w:pPr>
      <w:r w:rsidRPr="00975F04">
        <w:rPr>
          <w:rFonts w:cs="Arial"/>
        </w:rPr>
        <w:t xml:space="preserve">This Project shall cover all Energy Community Contracting Parties.  </w:t>
      </w:r>
    </w:p>
    <w:p w:rsidR="00505B4D" w:rsidRPr="00975F04" w:rsidRDefault="00505B4D" w:rsidP="00E10D2E">
      <w:pPr>
        <w:pStyle w:val="Heading2"/>
      </w:pPr>
      <w:r w:rsidRPr="00975F04">
        <w:t xml:space="preserve">Beneficiaries </w:t>
      </w:r>
    </w:p>
    <w:p w:rsidR="004E0444" w:rsidRPr="00975F04" w:rsidRDefault="00505B4D" w:rsidP="004E0444">
      <w:r w:rsidRPr="00975F04">
        <w:rPr>
          <w:rFonts w:cs="Arial"/>
        </w:rPr>
        <w:t xml:space="preserve">Beneficiary </w:t>
      </w:r>
      <w:r w:rsidR="004E0444" w:rsidRPr="00975F04">
        <w:t>are the Energy Community Contracting Parties, and specifically distribution system operator</w:t>
      </w:r>
      <w:r w:rsidR="00A62A28">
        <w:t>s</w:t>
      </w:r>
      <w:r w:rsidR="004E0444" w:rsidRPr="00975F04">
        <w:t xml:space="preserve"> as this project should provide deeper understanding of the smart system functioning and benefits for system operator</w:t>
      </w:r>
      <w:r w:rsidR="00A62A28">
        <w:t>s</w:t>
      </w:r>
      <w:r w:rsidR="004E0444" w:rsidRPr="00975F04">
        <w:t xml:space="preserve"> and customer</w:t>
      </w:r>
      <w:r w:rsidR="00A62A28">
        <w:t>s</w:t>
      </w:r>
      <w:r w:rsidR="004E0444" w:rsidRPr="00975F04">
        <w:t xml:space="preserve"> from its implementation. </w:t>
      </w:r>
    </w:p>
    <w:p w:rsidR="004E0444" w:rsidRPr="00975F04" w:rsidRDefault="004E0444" w:rsidP="00505B4D">
      <w:pPr>
        <w:rPr>
          <w:rFonts w:cs="Arial"/>
        </w:rPr>
      </w:pPr>
      <w:r w:rsidRPr="00975F04">
        <w:rPr>
          <w:rFonts w:cs="Arial"/>
        </w:rPr>
        <w:t xml:space="preserve">The study is initiated by </w:t>
      </w:r>
      <w:r w:rsidR="00A62A28">
        <w:rPr>
          <w:rFonts w:cs="Arial"/>
        </w:rPr>
        <w:t xml:space="preserve">the </w:t>
      </w:r>
      <w:r w:rsidRPr="00975F04">
        <w:rPr>
          <w:rFonts w:cs="Arial"/>
        </w:rPr>
        <w:t>ECDSO-E Coordination Group who will actively participate throughout project implementation and provide necessary inputs through designated contacts.</w:t>
      </w:r>
    </w:p>
    <w:p w:rsidR="00505B4D" w:rsidRPr="00975F04" w:rsidRDefault="004E0444" w:rsidP="004E0444">
      <w:pPr>
        <w:spacing w:before="80"/>
        <w:rPr>
          <w:rFonts w:cs="Arial"/>
        </w:rPr>
      </w:pPr>
      <w:r w:rsidRPr="00975F04">
        <w:rPr>
          <w:rFonts w:cs="Arial"/>
        </w:rPr>
        <w:t xml:space="preserve">Participation is further to be sought from </w:t>
      </w:r>
      <w:r w:rsidR="00505B4D" w:rsidRPr="00975F04">
        <w:rPr>
          <w:rFonts w:cs="Arial"/>
        </w:rPr>
        <w:t>Regulatory authorities in charge of energy</w:t>
      </w:r>
      <w:r w:rsidR="00F101AE" w:rsidRPr="00975F04">
        <w:rPr>
          <w:rFonts w:cs="Arial"/>
        </w:rPr>
        <w:t>, and</w:t>
      </w:r>
      <w:r w:rsidRPr="00975F04">
        <w:rPr>
          <w:rFonts w:cs="Arial"/>
        </w:rPr>
        <w:t xml:space="preserve"> </w:t>
      </w:r>
      <w:r w:rsidR="00A62A28">
        <w:rPr>
          <w:rFonts w:cs="Arial"/>
        </w:rPr>
        <w:t>a</w:t>
      </w:r>
      <w:r w:rsidR="00505B4D" w:rsidRPr="00975F04">
        <w:rPr>
          <w:rFonts w:cs="Arial"/>
        </w:rPr>
        <w:t xml:space="preserve">ny other relevant market participants and stakeholders. </w:t>
      </w:r>
    </w:p>
    <w:p w:rsidR="00505B4D" w:rsidRPr="00975F04" w:rsidRDefault="00505B4D" w:rsidP="00E10D2E">
      <w:pPr>
        <w:pStyle w:val="Heading1"/>
        <w:rPr>
          <w:lang w:val="en-GB"/>
        </w:rPr>
      </w:pPr>
      <w:r w:rsidRPr="00975F04">
        <w:rPr>
          <w:lang w:val="en-GB"/>
        </w:rPr>
        <w:lastRenderedPageBreak/>
        <w:t>Scope of work</w:t>
      </w:r>
    </w:p>
    <w:p w:rsidR="00505B4D" w:rsidRPr="00975F04" w:rsidRDefault="00505B4D" w:rsidP="00E10D2E">
      <w:pPr>
        <w:pStyle w:val="Heading2"/>
      </w:pPr>
      <w:r w:rsidRPr="00975F04">
        <w:t>Specific work and schedule</w:t>
      </w:r>
    </w:p>
    <w:p w:rsidR="00AE13B2" w:rsidRPr="00975F04" w:rsidRDefault="00505B4D" w:rsidP="00AE13B2">
      <w:pPr>
        <w:spacing w:before="120" w:after="12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>In line with the Objectives and expected outputs defined above, the Consultant sh</w:t>
      </w:r>
      <w:r w:rsidR="00AE13B2" w:rsidRPr="00975F04">
        <w:rPr>
          <w:rFonts w:eastAsia="Verdana" w:cs="Arial"/>
          <w:lang w:bidi="en-US"/>
        </w:rPr>
        <w:t>all prepare the Study</w:t>
      </w:r>
      <w:r w:rsidR="008947AF" w:rsidRPr="00975F04">
        <w:rPr>
          <w:rFonts w:eastAsia="Verdana" w:cs="Arial"/>
          <w:lang w:bidi="en-US"/>
        </w:rPr>
        <w:t xml:space="preserve"> </w:t>
      </w:r>
      <w:r w:rsidR="00507CCC" w:rsidRPr="00507CCC">
        <w:rPr>
          <w:rFonts w:eastAsia="Times New Roman" w:cs="Arial"/>
          <w:color w:val="000000"/>
        </w:rPr>
        <w:t>on smart systems to empower customers</w:t>
      </w:r>
      <w:r w:rsidR="00AE13B2" w:rsidRPr="00975F04">
        <w:rPr>
          <w:rFonts w:eastAsia="Verdana" w:cs="Arial"/>
          <w:lang w:bidi="en-US"/>
        </w:rPr>
        <w:t xml:space="preserve">, and organise </w:t>
      </w:r>
      <w:r w:rsidR="00811D85" w:rsidRPr="00975F04">
        <w:rPr>
          <w:rFonts w:eastAsia="Verdana" w:cs="Arial"/>
          <w:lang w:bidi="en-US"/>
        </w:rPr>
        <w:t xml:space="preserve">two </w:t>
      </w:r>
      <w:r w:rsidR="00AE13B2" w:rsidRPr="00975F04">
        <w:rPr>
          <w:rFonts w:eastAsia="Verdana" w:cs="Arial"/>
          <w:lang w:bidi="en-US"/>
        </w:rPr>
        <w:t xml:space="preserve">workshops to present </w:t>
      </w:r>
      <w:r w:rsidR="00811D85" w:rsidRPr="00975F04">
        <w:rPr>
          <w:rFonts w:eastAsia="Verdana" w:cs="Arial"/>
          <w:lang w:bidi="en-US"/>
        </w:rPr>
        <w:t>the Study</w:t>
      </w:r>
      <w:r w:rsidR="00AE13B2" w:rsidRPr="00975F04">
        <w:rPr>
          <w:rFonts w:eastAsia="Verdana" w:cs="Arial"/>
          <w:lang w:bidi="en-US"/>
        </w:rPr>
        <w:t xml:space="preserve"> to the </w:t>
      </w:r>
      <w:r w:rsidR="00AD647D" w:rsidRPr="00975F04">
        <w:rPr>
          <w:rFonts w:eastAsia="Verdana" w:cs="Arial"/>
          <w:lang w:bidi="en-US"/>
        </w:rPr>
        <w:t xml:space="preserve">DSO of the </w:t>
      </w:r>
      <w:r w:rsidR="00AE13B2" w:rsidRPr="00975F04">
        <w:rPr>
          <w:rFonts w:eastAsia="Verdana" w:cs="Arial"/>
          <w:lang w:bidi="en-US"/>
        </w:rPr>
        <w:t>Energy Community Contracting Parties.</w:t>
      </w:r>
    </w:p>
    <w:p w:rsidR="00AE13B2" w:rsidRPr="00975F04" w:rsidRDefault="00AE13B2" w:rsidP="00AE13B2">
      <w:pPr>
        <w:spacing w:before="120" w:after="12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In order to deliver </w:t>
      </w:r>
      <w:r w:rsidR="00E71B01" w:rsidRPr="00975F04">
        <w:rPr>
          <w:rFonts w:eastAsia="Verdana" w:cs="Arial"/>
          <w:lang w:bidi="en-US"/>
        </w:rPr>
        <w:t>the above mentioned</w:t>
      </w:r>
      <w:r w:rsidRPr="00975F04">
        <w:rPr>
          <w:rFonts w:eastAsia="Verdana" w:cs="Arial"/>
          <w:lang w:bidi="en-US"/>
        </w:rPr>
        <w:t xml:space="preserve"> the Consultant should perform the following tasks:</w:t>
      </w:r>
    </w:p>
    <w:p w:rsidR="00AB1A89" w:rsidRPr="00975F04" w:rsidRDefault="00AB1A89" w:rsidP="00AB1A89">
      <w:pPr>
        <w:pStyle w:val="ListParagraph"/>
        <w:numPr>
          <w:ilvl w:val="0"/>
          <w:numId w:val="24"/>
        </w:numPr>
        <w:spacing w:before="120" w:after="120"/>
        <w:ind w:left="425" w:hanging="357"/>
        <w:contextualSpacing w:val="0"/>
        <w:rPr>
          <w:rFonts w:eastAsia="Verdana" w:cs="Arial"/>
          <w:b/>
          <w:lang w:bidi="en-US"/>
        </w:rPr>
      </w:pPr>
      <w:r w:rsidRPr="00975F04">
        <w:rPr>
          <w:rFonts w:eastAsia="Verdana" w:cs="Arial"/>
          <w:b/>
          <w:lang w:bidi="en-US"/>
        </w:rPr>
        <w:t>Task 1</w:t>
      </w:r>
    </w:p>
    <w:p w:rsidR="00980283" w:rsidRPr="00975F04" w:rsidRDefault="00980283" w:rsidP="00CB61D9">
      <w:pPr>
        <w:spacing w:before="120" w:after="120"/>
        <w:ind w:left="68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Based on the Directive 2019/944 adopted by Decision 2021/13/MC-EnC of Energy Community Ministerial Council (hereinafter: adopted Directive 2019/944) and taking note of the </w:t>
      </w:r>
      <w:r w:rsidR="00CB61D9" w:rsidRPr="00975F04">
        <w:rPr>
          <w:rFonts w:eastAsia="Verdana" w:cs="Arial"/>
          <w:i/>
          <w:lang w:bidi="en-US"/>
        </w:rPr>
        <w:t>Report on establishing the technical requirements for smart meters according to best practices in EU including the Roadmap for the overall technological transition</w:t>
      </w:r>
      <w:r w:rsidR="00194529" w:rsidRPr="00975F04">
        <w:rPr>
          <w:rStyle w:val="FootnoteReference"/>
          <w:rFonts w:eastAsia="Verdana" w:cs="Arial"/>
          <w:i/>
          <w:lang w:bidi="en-US"/>
        </w:rPr>
        <w:footnoteReference w:id="1"/>
      </w:r>
      <w:r w:rsidR="00CB61D9" w:rsidRPr="00975F04">
        <w:rPr>
          <w:rFonts w:eastAsia="Verdana" w:cs="Arial"/>
          <w:lang w:bidi="en-US"/>
        </w:rPr>
        <w:t xml:space="preserve">, </w:t>
      </w:r>
      <w:r w:rsidRPr="00975F04">
        <w:rPr>
          <w:rFonts w:eastAsia="Verdana" w:cs="Arial"/>
          <w:i/>
          <w:lang w:bidi="en-US"/>
        </w:rPr>
        <w:t xml:space="preserve">Study on </w:t>
      </w:r>
      <w:r w:rsidR="003114D4" w:rsidRPr="00975F04">
        <w:rPr>
          <w:rFonts w:eastAsia="Verdana" w:cs="Arial"/>
          <w:i/>
          <w:lang w:bidi="en-US"/>
        </w:rPr>
        <w:t>F</w:t>
      </w:r>
      <w:r w:rsidRPr="00975F04">
        <w:rPr>
          <w:rFonts w:eastAsia="Verdana" w:cs="Arial"/>
          <w:i/>
          <w:lang w:bidi="en-US"/>
        </w:rPr>
        <w:t xml:space="preserve">lexibility </w:t>
      </w:r>
      <w:r w:rsidR="003114D4" w:rsidRPr="00975F04">
        <w:rPr>
          <w:rFonts w:eastAsia="Verdana" w:cs="Arial"/>
          <w:i/>
          <w:lang w:bidi="en-US"/>
        </w:rPr>
        <w:t>O</w:t>
      </w:r>
      <w:r w:rsidRPr="00975F04">
        <w:rPr>
          <w:rFonts w:eastAsia="Verdana" w:cs="Arial"/>
          <w:i/>
          <w:lang w:bidi="en-US"/>
        </w:rPr>
        <w:t xml:space="preserve">ptions to </w:t>
      </w:r>
      <w:r w:rsidR="003114D4" w:rsidRPr="00975F04">
        <w:rPr>
          <w:rFonts w:eastAsia="Verdana" w:cs="Arial"/>
          <w:i/>
          <w:lang w:bidi="en-US"/>
        </w:rPr>
        <w:t>S</w:t>
      </w:r>
      <w:r w:rsidRPr="00975F04">
        <w:rPr>
          <w:rFonts w:eastAsia="Verdana" w:cs="Arial"/>
          <w:i/>
          <w:lang w:bidi="en-US"/>
        </w:rPr>
        <w:t xml:space="preserve">upport </w:t>
      </w:r>
      <w:r w:rsidR="003114D4" w:rsidRPr="00975F04">
        <w:rPr>
          <w:rFonts w:eastAsia="Verdana" w:cs="Arial"/>
          <w:i/>
          <w:lang w:bidi="en-US"/>
        </w:rPr>
        <w:t>D</w:t>
      </w:r>
      <w:r w:rsidRPr="00975F04">
        <w:rPr>
          <w:rFonts w:eastAsia="Verdana" w:cs="Arial"/>
          <w:i/>
          <w:lang w:bidi="en-US"/>
        </w:rPr>
        <w:t>ecarbonisation in the Energy Community</w:t>
      </w:r>
      <w:r w:rsidR="00C64F12" w:rsidRPr="00975F04">
        <w:rPr>
          <w:rStyle w:val="FootnoteReference"/>
          <w:rFonts w:eastAsia="Verdana" w:cs="Arial"/>
          <w:i/>
          <w:lang w:bidi="en-US"/>
        </w:rPr>
        <w:footnoteReference w:id="2"/>
      </w:r>
      <w:r w:rsidRPr="00975F04">
        <w:rPr>
          <w:rFonts w:eastAsia="Verdana" w:cs="Arial"/>
          <w:lang w:bidi="en-US"/>
        </w:rPr>
        <w:t xml:space="preserve">, </w:t>
      </w:r>
      <w:r w:rsidR="00C64F12" w:rsidRPr="003C1A6D">
        <w:rPr>
          <w:rFonts w:eastAsia="Verdana" w:cs="Arial"/>
          <w:i/>
          <w:lang w:bidi="en-US"/>
        </w:rPr>
        <w:t>Smart grid opportunities in the Energy Community</w:t>
      </w:r>
      <w:r w:rsidR="00C64F12" w:rsidRPr="00975F04">
        <w:rPr>
          <w:rStyle w:val="FootnoteReference"/>
          <w:rFonts w:eastAsia="Verdana" w:cs="Arial"/>
          <w:lang w:bidi="en-US"/>
        </w:rPr>
        <w:footnoteReference w:id="3"/>
      </w:r>
      <w:r w:rsidR="00C64F12" w:rsidRPr="00975F04">
        <w:rPr>
          <w:rFonts w:eastAsia="Verdana" w:cs="Arial"/>
          <w:lang w:bidi="en-US"/>
        </w:rPr>
        <w:t xml:space="preserve">, </w:t>
      </w:r>
      <w:r w:rsidRPr="00975F04">
        <w:rPr>
          <w:rFonts w:eastAsia="Verdana" w:cs="Arial"/>
          <w:i/>
          <w:lang w:bidi="en-US"/>
        </w:rPr>
        <w:t>Technical Assistance for the Connection Network Codes Implementation in the Energy Community</w:t>
      </w:r>
      <w:r w:rsidR="00C64F12" w:rsidRPr="00975F04">
        <w:rPr>
          <w:rStyle w:val="FootnoteReference"/>
          <w:rFonts w:eastAsia="Verdana" w:cs="Arial"/>
          <w:i/>
          <w:lang w:bidi="en-US"/>
        </w:rPr>
        <w:footnoteReference w:id="4"/>
      </w:r>
      <w:r w:rsidR="003C1A6D">
        <w:rPr>
          <w:rFonts w:eastAsia="Verdana" w:cs="Arial"/>
          <w:lang w:bidi="en-US"/>
        </w:rPr>
        <w:t>,</w:t>
      </w:r>
      <w:r w:rsidR="003114D4" w:rsidRPr="00975F04">
        <w:rPr>
          <w:rFonts w:eastAsia="Verdana" w:cs="Arial"/>
          <w:lang w:bidi="en-US"/>
        </w:rPr>
        <w:t xml:space="preserve"> </w:t>
      </w:r>
      <w:r w:rsidR="003114D4" w:rsidRPr="003C1A6D">
        <w:rPr>
          <w:rFonts w:eastAsia="Verdana" w:cs="Arial"/>
          <w:i/>
          <w:lang w:bidi="en-US"/>
        </w:rPr>
        <w:t>Quality of S</w:t>
      </w:r>
      <w:r w:rsidR="00CB61D9" w:rsidRPr="003C1A6D">
        <w:rPr>
          <w:rFonts w:eastAsia="Verdana" w:cs="Arial"/>
          <w:i/>
          <w:lang w:bidi="en-US"/>
        </w:rPr>
        <w:t>upply Position Paper</w:t>
      </w:r>
      <w:r w:rsidR="00C64F12" w:rsidRPr="00975F04">
        <w:rPr>
          <w:rStyle w:val="FootnoteReference"/>
          <w:rFonts w:eastAsia="Verdana" w:cs="Arial"/>
          <w:lang w:bidi="en-US"/>
        </w:rPr>
        <w:footnoteReference w:id="5"/>
      </w:r>
      <w:r w:rsidR="003C1A6D">
        <w:rPr>
          <w:rFonts w:eastAsia="Verdana" w:cs="Arial"/>
          <w:i/>
          <w:lang w:bidi="en-US"/>
        </w:rPr>
        <w:t xml:space="preserve">, </w:t>
      </w:r>
      <w:r w:rsidR="003C1A6D" w:rsidRPr="00975F04">
        <w:rPr>
          <w:rFonts w:eastAsia="Verdana" w:cs="Arial"/>
          <w:i/>
          <w:lang w:bidi="en-US"/>
        </w:rPr>
        <w:t xml:space="preserve">Draft Methodology for economic assessment of smart meters implementation (smart meter roll-out) in </w:t>
      </w:r>
      <w:r w:rsidR="003C1A6D" w:rsidRPr="00975F04">
        <w:rPr>
          <w:rFonts w:eastAsia="Verdana" w:cs="Arial"/>
          <w:lang w:bidi="en-US"/>
        </w:rPr>
        <w:t xml:space="preserve">Moldova and </w:t>
      </w:r>
      <w:r w:rsidR="003C1A6D" w:rsidRPr="00975F04">
        <w:rPr>
          <w:rFonts w:eastAsia="Verdana" w:cs="Arial"/>
          <w:i/>
          <w:lang w:bidi="en-US"/>
        </w:rPr>
        <w:t>Gap analysis on the identified legislative and regulatory needed improvements and amendments necessary for implementation of smart meters (smart meter roll-out) in Moldova</w:t>
      </w:r>
      <w:r w:rsidR="00CB61D9" w:rsidRPr="00975F04">
        <w:rPr>
          <w:rFonts w:eastAsia="Verdana" w:cs="Arial"/>
          <w:lang w:bidi="en-US"/>
        </w:rPr>
        <w:t>, the Consultant shall:</w:t>
      </w:r>
    </w:p>
    <w:p w:rsidR="00AE13B2" w:rsidRPr="00975F04" w:rsidRDefault="004E4118" w:rsidP="00892E3F">
      <w:pPr>
        <w:pStyle w:val="ListParagraph"/>
        <w:numPr>
          <w:ilvl w:val="0"/>
          <w:numId w:val="25"/>
        </w:numPr>
        <w:spacing w:before="120" w:after="120"/>
        <w:ind w:hanging="575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evaluate the current status of smart meters roll-out in </w:t>
      </w:r>
      <w:r w:rsidR="002306BA">
        <w:rPr>
          <w:rFonts w:eastAsia="Verdana" w:cs="Arial"/>
          <w:lang w:bidi="en-US"/>
        </w:rPr>
        <w:t xml:space="preserve">the </w:t>
      </w:r>
      <w:r w:rsidRPr="00975F04">
        <w:rPr>
          <w:rFonts w:eastAsia="Verdana" w:cs="Arial"/>
          <w:lang w:bidi="en-US"/>
        </w:rPr>
        <w:t xml:space="preserve">Energy Community Contracting Parties compared to the conventional meters, </w:t>
      </w:r>
      <w:r w:rsidR="00B379F5" w:rsidRPr="00975F04">
        <w:rPr>
          <w:rFonts w:eastAsia="Times New Roman" w:cs="Arial"/>
          <w:color w:val="000000"/>
        </w:rPr>
        <w:t>especially</w:t>
      </w:r>
      <w:r w:rsidR="00AE13B2" w:rsidRPr="00975F04">
        <w:rPr>
          <w:rFonts w:eastAsia="Times New Roman" w:cs="Arial"/>
          <w:color w:val="000000"/>
        </w:rPr>
        <w:t xml:space="preserve"> the technology (generation</w:t>
      </w:r>
      <w:r w:rsidR="00AD647D" w:rsidRPr="00975F04">
        <w:rPr>
          <w:rFonts w:eastAsia="Times New Roman" w:cs="Arial"/>
          <w:color w:val="000000"/>
        </w:rPr>
        <w:t>) of the installed smart meters,</w:t>
      </w:r>
      <w:r w:rsidR="00AE13B2" w:rsidRPr="00975F04">
        <w:rPr>
          <w:rFonts w:eastAsia="Times New Roman" w:cs="Arial"/>
          <w:color w:val="000000"/>
        </w:rPr>
        <w:t xml:space="preserve"> the level of exploitation of their functionalities and the interoperability of the systems associated to the smart meters</w:t>
      </w:r>
      <w:r w:rsidR="00AD647D" w:rsidRPr="00975F04">
        <w:rPr>
          <w:rFonts w:eastAsia="Times New Roman" w:cs="Arial"/>
          <w:color w:val="000000"/>
        </w:rPr>
        <w:t xml:space="preserve"> (possible gaps in </w:t>
      </w:r>
      <w:r w:rsidR="00AD647D" w:rsidRPr="00975F04">
        <w:rPr>
          <w:rFonts w:eastAsia="Verdana" w:cs="Arial"/>
          <w:lang w:bidi="en-US"/>
        </w:rPr>
        <w:t>communication, data acquisition or control systems)</w:t>
      </w:r>
      <w:r w:rsidR="00B379F5" w:rsidRPr="00975F04">
        <w:rPr>
          <w:rFonts w:eastAsia="Times New Roman" w:cs="Arial"/>
          <w:color w:val="000000"/>
        </w:rPr>
        <w:t xml:space="preserve">; and compare the functionalities of the installed metering systems to the requirements prescribed in </w:t>
      </w:r>
      <w:r w:rsidR="00E821DF" w:rsidRPr="00975F04">
        <w:rPr>
          <w:rFonts w:eastAsia="Times New Roman" w:cs="Arial"/>
          <w:color w:val="000000"/>
        </w:rPr>
        <w:t>adopted</w:t>
      </w:r>
      <w:r w:rsidR="00B379F5" w:rsidRPr="00975F04">
        <w:rPr>
          <w:rFonts w:eastAsia="Times New Roman" w:cs="Arial"/>
          <w:color w:val="000000"/>
        </w:rPr>
        <w:t xml:space="preserve"> </w:t>
      </w:r>
      <w:r w:rsidR="009802A9" w:rsidRPr="00975F04">
        <w:rPr>
          <w:rFonts w:eastAsia="Times New Roman" w:cs="Arial"/>
          <w:color w:val="000000"/>
        </w:rPr>
        <w:t>Directive 2019/944</w:t>
      </w:r>
      <w:r w:rsidR="00B379F5" w:rsidRPr="00975F04">
        <w:rPr>
          <w:rFonts w:eastAsia="Times New Roman" w:cs="Arial"/>
          <w:color w:val="000000"/>
        </w:rPr>
        <w:t>,</w:t>
      </w:r>
    </w:p>
    <w:p w:rsidR="004E4118" w:rsidRPr="00975F04" w:rsidRDefault="004E4118" w:rsidP="00892E3F">
      <w:pPr>
        <w:pStyle w:val="ListParagraph"/>
        <w:numPr>
          <w:ilvl w:val="0"/>
          <w:numId w:val="25"/>
        </w:numPr>
        <w:spacing w:before="120" w:after="120"/>
        <w:ind w:hanging="575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>analyse the current use of the data received from the smart metering systems b</w:t>
      </w:r>
      <w:r w:rsidR="00AE13B2" w:rsidRPr="00975F04">
        <w:rPr>
          <w:rFonts w:eastAsia="Verdana" w:cs="Arial"/>
          <w:lang w:bidi="en-US"/>
        </w:rPr>
        <w:t>y distribution system operators and</w:t>
      </w:r>
      <w:r w:rsidRPr="00975F04">
        <w:rPr>
          <w:rFonts w:eastAsia="Verdana" w:cs="Arial"/>
          <w:lang w:bidi="en-US"/>
        </w:rPr>
        <w:t xml:space="preserve"> availability of metering data to final customers,</w:t>
      </w:r>
    </w:p>
    <w:p w:rsidR="004E4118" w:rsidRPr="00975F04" w:rsidRDefault="004E4118" w:rsidP="00892E3F">
      <w:pPr>
        <w:pStyle w:val="ListParagraph"/>
        <w:numPr>
          <w:ilvl w:val="0"/>
          <w:numId w:val="25"/>
        </w:numPr>
        <w:spacing w:before="120" w:after="120"/>
        <w:ind w:hanging="575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>evaluate the targeted coverage of smart meters defined by the implementation strategies and policies in force,</w:t>
      </w:r>
    </w:p>
    <w:p w:rsidR="004E4118" w:rsidRPr="00975F04" w:rsidRDefault="004E4118" w:rsidP="00892E3F">
      <w:pPr>
        <w:pStyle w:val="ListParagraph"/>
        <w:numPr>
          <w:ilvl w:val="0"/>
          <w:numId w:val="25"/>
        </w:numPr>
        <w:spacing w:before="120" w:after="120"/>
        <w:ind w:hanging="575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>identify the minimum technical requirements for smart metering systems in line w</w:t>
      </w:r>
      <w:r w:rsidR="00AD647D" w:rsidRPr="00975F04">
        <w:rPr>
          <w:rFonts w:eastAsia="Verdana" w:cs="Arial"/>
          <w:lang w:bidi="en-US"/>
        </w:rPr>
        <w:t xml:space="preserve">ith adopted </w:t>
      </w:r>
      <w:r w:rsidR="009802A9" w:rsidRPr="00975F04">
        <w:rPr>
          <w:rFonts w:eastAsia="Times New Roman" w:cs="Arial"/>
          <w:color w:val="000000"/>
        </w:rPr>
        <w:t>Directive 2019/944</w:t>
      </w:r>
      <w:r w:rsidRPr="00975F04">
        <w:rPr>
          <w:rFonts w:eastAsia="Verdana" w:cs="Arial"/>
          <w:lang w:bidi="en-US"/>
        </w:rPr>
        <w:t>,</w:t>
      </w:r>
    </w:p>
    <w:p w:rsidR="00AD647D" w:rsidRPr="00975F04" w:rsidRDefault="004E4118" w:rsidP="00892E3F">
      <w:pPr>
        <w:pStyle w:val="ListParagraph"/>
        <w:numPr>
          <w:ilvl w:val="0"/>
          <w:numId w:val="25"/>
        </w:numPr>
        <w:spacing w:before="120" w:after="120"/>
        <w:ind w:hanging="575"/>
        <w:contextualSpacing w:val="0"/>
      </w:pPr>
      <w:r w:rsidRPr="00975F04">
        <w:rPr>
          <w:rFonts w:eastAsia="Verdana" w:cs="Arial"/>
          <w:lang w:bidi="en-US"/>
        </w:rPr>
        <w:t>identify the advantages of integration of the smart meters</w:t>
      </w:r>
      <w:r w:rsidR="00AD647D" w:rsidRPr="00975F04">
        <w:rPr>
          <w:rFonts w:eastAsia="Verdana" w:cs="Arial"/>
          <w:lang w:bidi="en-US"/>
        </w:rPr>
        <w:t xml:space="preserve"> </w:t>
      </w:r>
      <w:r w:rsidR="00AD647D" w:rsidRPr="00975F04">
        <w:rPr>
          <w:rFonts w:eastAsia="Times New Roman" w:cs="Arial"/>
          <w:color w:val="000000"/>
        </w:rPr>
        <w:t xml:space="preserve">for </w:t>
      </w:r>
      <w:r w:rsidR="006F4A80" w:rsidRPr="00975F04">
        <w:rPr>
          <w:rFonts w:eastAsia="Times New Roman" w:cs="Arial"/>
          <w:color w:val="000000"/>
        </w:rPr>
        <w:t>DSOs (</w:t>
      </w:r>
      <w:r w:rsidR="00AD647D" w:rsidRPr="00975F04">
        <w:rPr>
          <w:rFonts w:eastAsia="Times New Roman" w:cs="Arial"/>
          <w:color w:val="000000"/>
        </w:rPr>
        <w:t>performing better analytics, improving network stability, earl</w:t>
      </w:r>
      <w:r w:rsidR="006F4A80" w:rsidRPr="00975F04">
        <w:rPr>
          <w:rFonts w:eastAsia="Times New Roman" w:cs="Arial"/>
          <w:color w:val="000000"/>
        </w:rPr>
        <w:t>y identification of problems,</w:t>
      </w:r>
      <w:r w:rsidR="00AD647D" w:rsidRPr="00975F04">
        <w:rPr>
          <w:rFonts w:eastAsia="Times New Roman" w:cs="Arial"/>
          <w:color w:val="000000"/>
        </w:rPr>
        <w:t xml:space="preserve"> preventive maintenance</w:t>
      </w:r>
      <w:r w:rsidR="006F4A80" w:rsidRPr="00975F04">
        <w:rPr>
          <w:rFonts w:eastAsia="Times New Roman" w:cs="Arial"/>
          <w:color w:val="000000"/>
        </w:rPr>
        <w:t>, facilitating the provision of the flexibility services)</w:t>
      </w:r>
      <w:r w:rsidR="00331C51" w:rsidRPr="00975F04">
        <w:rPr>
          <w:rFonts w:eastAsia="Times New Roman" w:cs="Arial"/>
          <w:color w:val="000000"/>
        </w:rPr>
        <w:t>,</w:t>
      </w:r>
    </w:p>
    <w:p w:rsidR="00066A78" w:rsidRDefault="004E4118" w:rsidP="00E10D2E">
      <w:pPr>
        <w:pStyle w:val="ListParagraph"/>
        <w:numPr>
          <w:ilvl w:val="0"/>
          <w:numId w:val="25"/>
        </w:numPr>
        <w:spacing w:after="240"/>
        <w:ind w:hanging="575"/>
        <w:contextualSpacing w:val="0"/>
        <w:rPr>
          <w:rFonts w:eastAsia="Verdana" w:cs="Arial"/>
          <w:lang w:bidi="en-US"/>
        </w:rPr>
      </w:pPr>
      <w:proofErr w:type="gramStart"/>
      <w:r w:rsidRPr="00975F04">
        <w:rPr>
          <w:rFonts w:eastAsia="Verdana" w:cs="Arial"/>
          <w:lang w:bidi="en-US"/>
        </w:rPr>
        <w:lastRenderedPageBreak/>
        <w:t>identify</w:t>
      </w:r>
      <w:proofErr w:type="gramEnd"/>
      <w:r w:rsidRPr="00975F04">
        <w:rPr>
          <w:rFonts w:eastAsia="Verdana" w:cs="Arial"/>
          <w:lang w:bidi="en-US"/>
        </w:rPr>
        <w:t xml:space="preserve"> the advantages of integration of the smart meters for consumers connected to the distribution system,</w:t>
      </w:r>
      <w:r w:rsidR="00AD647D" w:rsidRPr="00975F04">
        <w:rPr>
          <w:rFonts w:eastAsia="Verdana" w:cs="Arial"/>
          <w:lang w:bidi="en-US"/>
        </w:rPr>
        <w:t xml:space="preserve"> with the emphasis on the availability of the metering data on the actual time of use and consumer empowerment in line with</w:t>
      </w:r>
      <w:r w:rsidR="00E821DF" w:rsidRPr="00975F04">
        <w:rPr>
          <w:rFonts w:eastAsia="Verdana" w:cs="Arial"/>
          <w:lang w:bidi="en-US"/>
        </w:rPr>
        <w:t xml:space="preserve"> adopted</w:t>
      </w:r>
      <w:r w:rsidR="00AD647D" w:rsidRPr="00975F04">
        <w:rPr>
          <w:rFonts w:eastAsia="Verdana" w:cs="Arial"/>
          <w:lang w:bidi="en-US"/>
        </w:rPr>
        <w:t xml:space="preserve"> </w:t>
      </w:r>
      <w:r w:rsidR="009802A9" w:rsidRPr="00975F04">
        <w:rPr>
          <w:rFonts w:eastAsia="Times New Roman" w:cs="Arial"/>
          <w:color w:val="000000"/>
        </w:rPr>
        <w:t>Directive 2019/944</w:t>
      </w:r>
      <w:r w:rsidR="009802A9" w:rsidRPr="00975F04">
        <w:rPr>
          <w:rFonts w:eastAsia="Verdana" w:cs="Arial"/>
          <w:lang w:bidi="en-US"/>
        </w:rPr>
        <w:t xml:space="preserve"> </w:t>
      </w:r>
      <w:r w:rsidR="00DA6DF4" w:rsidRPr="00975F04">
        <w:rPr>
          <w:rFonts w:eastAsia="Verdana" w:cs="Arial"/>
          <w:lang w:bidi="en-US"/>
        </w:rPr>
        <w:t xml:space="preserve">(dynamic price contracts, </w:t>
      </w:r>
      <w:r w:rsidR="0009013C" w:rsidRPr="00975F04">
        <w:rPr>
          <w:rFonts w:eastAsia="Verdana" w:cs="Arial"/>
          <w:lang w:bidi="en-US"/>
        </w:rPr>
        <w:t>aggregation, active participation in the energy market)</w:t>
      </w:r>
      <w:r w:rsidR="00892E3F" w:rsidRPr="00975F04">
        <w:rPr>
          <w:rFonts w:eastAsia="Verdana" w:cs="Arial"/>
          <w:lang w:bidi="en-US"/>
        </w:rPr>
        <w:t>.</w:t>
      </w:r>
      <w:r w:rsidR="00066A78" w:rsidRPr="00975F04">
        <w:rPr>
          <w:rFonts w:eastAsia="Verdana" w:cs="Arial"/>
          <w:lang w:bidi="en-US"/>
        </w:rPr>
        <w:t xml:space="preserve"> </w:t>
      </w:r>
    </w:p>
    <w:p w:rsidR="003C1A6D" w:rsidRPr="00975F04" w:rsidRDefault="003C1A6D" w:rsidP="002306BA">
      <w:pPr>
        <w:pStyle w:val="ListParagraph"/>
        <w:numPr>
          <w:ilvl w:val="0"/>
          <w:numId w:val="25"/>
        </w:numPr>
        <w:spacing w:before="120" w:after="120"/>
        <w:ind w:left="540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recommend an optimal set of solutions, including technologies, methods, policy, and </w:t>
      </w:r>
      <w:r w:rsidR="002306BA">
        <w:rPr>
          <w:rFonts w:eastAsia="Verdana" w:cs="Arial"/>
          <w:lang w:bidi="en-US"/>
        </w:rPr>
        <w:tab/>
      </w:r>
      <w:r w:rsidRPr="00975F04">
        <w:rPr>
          <w:rFonts w:eastAsia="Verdana" w:cs="Arial"/>
          <w:lang w:bidi="en-US"/>
        </w:rPr>
        <w:t xml:space="preserve">regulatory measures to enable: </w:t>
      </w:r>
    </w:p>
    <w:p w:rsidR="003C1A6D" w:rsidRPr="00975F04" w:rsidRDefault="003C1A6D" w:rsidP="003C1A6D">
      <w:pPr>
        <w:pStyle w:val="ListParagraph"/>
        <w:numPr>
          <w:ilvl w:val="1"/>
          <w:numId w:val="25"/>
        </w:numPr>
        <w:spacing w:before="120" w:after="120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efficient utilisation of the existing smart meters and </w:t>
      </w:r>
    </w:p>
    <w:p w:rsidR="003C1A6D" w:rsidRPr="003C1A6D" w:rsidRDefault="003C1A6D" w:rsidP="003C1A6D">
      <w:pPr>
        <w:pStyle w:val="ListParagraph"/>
        <w:numPr>
          <w:ilvl w:val="1"/>
          <w:numId w:val="25"/>
        </w:numPr>
        <w:spacing w:before="120" w:after="120"/>
        <w:contextualSpacing w:val="0"/>
        <w:rPr>
          <w:rFonts w:eastAsia="Verdana" w:cs="Arial"/>
          <w:lang w:bidi="en-US"/>
        </w:rPr>
      </w:pPr>
      <w:proofErr w:type="gramStart"/>
      <w:r w:rsidRPr="00975F04">
        <w:rPr>
          <w:rFonts w:eastAsia="Verdana" w:cs="Arial"/>
          <w:lang w:bidi="en-US"/>
        </w:rPr>
        <w:t>optimum</w:t>
      </w:r>
      <w:proofErr w:type="gramEnd"/>
      <w:r w:rsidRPr="00975F04">
        <w:rPr>
          <w:rFonts w:eastAsia="Verdana" w:cs="Arial"/>
          <w:lang w:bidi="en-US"/>
        </w:rPr>
        <w:t xml:space="preserve"> smart meters coverage to exploit be</w:t>
      </w:r>
      <w:r w:rsidR="00B9720B">
        <w:rPr>
          <w:rFonts w:eastAsia="Verdana" w:cs="Arial"/>
          <w:lang w:bidi="en-US"/>
        </w:rPr>
        <w:t>nefits of smart meters roll-out.</w:t>
      </w:r>
    </w:p>
    <w:p w:rsidR="00B9720B" w:rsidRDefault="00B9720B" w:rsidP="002306BA">
      <w:pPr>
        <w:pStyle w:val="ListParagraph"/>
        <w:spacing w:before="120" w:after="120"/>
        <w:ind w:left="425"/>
        <w:contextualSpacing w:val="0"/>
        <w:rPr>
          <w:rFonts w:eastAsia="Verdana" w:cs="Arial"/>
          <w:b/>
          <w:lang w:bidi="en-US"/>
        </w:rPr>
      </w:pPr>
    </w:p>
    <w:p w:rsidR="00CB61D9" w:rsidRPr="00975F04" w:rsidRDefault="00CB61D9" w:rsidP="00CB61D9">
      <w:pPr>
        <w:pStyle w:val="ListParagraph"/>
        <w:numPr>
          <w:ilvl w:val="0"/>
          <w:numId w:val="24"/>
        </w:numPr>
        <w:spacing w:before="120" w:after="120"/>
        <w:ind w:left="425" w:hanging="357"/>
        <w:contextualSpacing w:val="0"/>
        <w:rPr>
          <w:rFonts w:eastAsia="Verdana" w:cs="Arial"/>
          <w:b/>
          <w:lang w:bidi="en-US"/>
        </w:rPr>
      </w:pPr>
      <w:r w:rsidRPr="00975F04">
        <w:rPr>
          <w:rFonts w:eastAsia="Verdana" w:cs="Arial"/>
          <w:b/>
          <w:lang w:bidi="en-US"/>
        </w:rPr>
        <w:t>Task 2</w:t>
      </w:r>
    </w:p>
    <w:p w:rsidR="00CB61D9" w:rsidRPr="00975F04" w:rsidRDefault="00356A2D" w:rsidP="00E10D2E">
      <w:pPr>
        <w:spacing w:before="120" w:after="120"/>
        <w:ind w:left="142"/>
        <w:rPr>
          <w:rFonts w:eastAsia="Verdana" w:cs="Arial"/>
          <w:lang w:bidi="en-US"/>
        </w:rPr>
      </w:pPr>
      <w:r>
        <w:rPr>
          <w:rFonts w:eastAsia="Verdana" w:cs="Arial"/>
          <w:lang w:bidi="en-US"/>
        </w:rPr>
        <w:t>Based on present situation in selected EU countries, t</w:t>
      </w:r>
      <w:r w:rsidR="00CB61D9" w:rsidRPr="00975F04">
        <w:rPr>
          <w:rFonts w:eastAsia="Verdana" w:cs="Arial"/>
          <w:lang w:bidi="en-US"/>
        </w:rPr>
        <w:t>he Consultant shall:</w:t>
      </w:r>
    </w:p>
    <w:p w:rsidR="00E83A9A" w:rsidRPr="00975F04" w:rsidRDefault="00AD6D54" w:rsidP="00892E3F">
      <w:pPr>
        <w:pStyle w:val="ListParagraph"/>
        <w:numPr>
          <w:ilvl w:val="0"/>
          <w:numId w:val="26"/>
        </w:numPr>
        <w:spacing w:before="120" w:after="120"/>
        <w:ind w:hanging="575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>give the overview on</w:t>
      </w:r>
      <w:r w:rsidR="004E4118" w:rsidRPr="00975F04">
        <w:rPr>
          <w:rFonts w:eastAsia="Verdana" w:cs="Arial"/>
          <w:lang w:bidi="en-US"/>
        </w:rPr>
        <w:t xml:space="preserve"> the experience and lesson learned in the selected list of European DSOs in the advanced stage of automation with the information on the: </w:t>
      </w:r>
    </w:p>
    <w:p w:rsidR="00E83A9A" w:rsidRPr="00975F04" w:rsidRDefault="00E83A9A" w:rsidP="00892E3F">
      <w:pPr>
        <w:pStyle w:val="ListParagraph"/>
        <w:numPr>
          <w:ilvl w:val="1"/>
          <w:numId w:val="26"/>
        </w:numPr>
        <w:spacing w:before="120" w:after="120"/>
        <w:ind w:left="1560" w:hanging="708"/>
        <w:contextualSpacing w:val="0"/>
        <w:rPr>
          <w:rFonts w:eastAsia="Verdana" w:cs="Arial"/>
          <w:lang w:bidi="en-US"/>
        </w:rPr>
      </w:pPr>
      <w:r w:rsidRPr="00975F04">
        <w:rPr>
          <w:rFonts w:eastAsia="Verdana" w:cs="Arial"/>
          <w:lang w:bidi="en-US"/>
        </w:rPr>
        <w:t xml:space="preserve">grid automation, including the applied </w:t>
      </w:r>
      <w:r w:rsidR="004E4118" w:rsidRPr="00975F04">
        <w:rPr>
          <w:rFonts w:eastAsia="Verdana" w:cs="Arial"/>
          <w:lang w:bidi="en-US"/>
        </w:rPr>
        <w:t>technologies, the target level, stages of automation and economic efficiency of investments</w:t>
      </w:r>
      <w:r w:rsidR="00AD647D" w:rsidRPr="00975F04">
        <w:rPr>
          <w:rFonts w:eastAsia="Verdana" w:cs="Arial"/>
          <w:lang w:bidi="en-US"/>
        </w:rPr>
        <w:t>,</w:t>
      </w:r>
      <w:r w:rsidRPr="00975F04">
        <w:rPr>
          <w:rFonts w:eastAsia="Verdana" w:cs="Arial"/>
          <w:lang w:bidi="en-US"/>
        </w:rPr>
        <w:t xml:space="preserve"> </w:t>
      </w:r>
      <w:r w:rsidR="00C641BA" w:rsidRPr="00975F04">
        <w:rPr>
          <w:rFonts w:eastAsia="Verdana" w:cs="Arial"/>
          <w:lang w:bidi="en-US"/>
        </w:rPr>
        <w:t>and</w:t>
      </w:r>
    </w:p>
    <w:p w:rsidR="00E83A9A" w:rsidRPr="00975F04" w:rsidRDefault="00E83A9A" w:rsidP="00E10D2E">
      <w:pPr>
        <w:pStyle w:val="ListParagraph"/>
        <w:numPr>
          <w:ilvl w:val="1"/>
          <w:numId w:val="26"/>
        </w:numPr>
        <w:spacing w:before="120" w:after="240"/>
        <w:ind w:left="1560" w:hanging="708"/>
        <w:contextualSpacing w:val="0"/>
        <w:rPr>
          <w:rFonts w:eastAsia="Verdana" w:cs="Arial"/>
          <w:lang w:bidi="en-US"/>
        </w:rPr>
      </w:pPr>
      <w:proofErr w:type="gramStart"/>
      <w:r w:rsidRPr="00975F04">
        <w:rPr>
          <w:rFonts w:eastAsia="Verdana" w:cs="Arial"/>
          <w:lang w:bidi="en-US"/>
        </w:rPr>
        <w:t>consumer</w:t>
      </w:r>
      <w:proofErr w:type="gramEnd"/>
      <w:r w:rsidRPr="00975F04">
        <w:rPr>
          <w:rFonts w:eastAsia="Verdana" w:cs="Arial"/>
          <w:lang w:bidi="en-US"/>
        </w:rPr>
        <w:t xml:space="preserve"> </w:t>
      </w:r>
      <w:r w:rsidR="005C492F" w:rsidRPr="00975F04">
        <w:rPr>
          <w:rFonts w:eastAsia="Verdana" w:cs="Arial"/>
          <w:lang w:bidi="en-US"/>
        </w:rPr>
        <w:t xml:space="preserve">support </w:t>
      </w:r>
      <w:r w:rsidRPr="00975F04">
        <w:rPr>
          <w:rFonts w:eastAsia="Verdana" w:cs="Arial"/>
          <w:lang w:bidi="en-US"/>
        </w:rPr>
        <w:t xml:space="preserve">automation, </w:t>
      </w:r>
      <w:r w:rsidR="005C492F" w:rsidRPr="00975F04">
        <w:rPr>
          <w:rFonts w:eastAsia="Verdana" w:cs="Arial"/>
          <w:lang w:bidi="en-US"/>
        </w:rPr>
        <w:t xml:space="preserve">including the </w:t>
      </w:r>
      <w:r w:rsidRPr="00975F04">
        <w:rPr>
          <w:rFonts w:eastAsia="Verdana" w:cs="Arial"/>
          <w:lang w:bidi="en-US"/>
        </w:rPr>
        <w:t xml:space="preserve">automation service features and indicators (e.g., interactive voice response features, self-service area on websites, mobile apps, </w:t>
      </w:r>
      <w:proofErr w:type="spellStart"/>
      <w:r w:rsidRPr="00975F04">
        <w:rPr>
          <w:rFonts w:eastAsia="Verdana" w:cs="Arial"/>
          <w:lang w:bidi="en-US"/>
        </w:rPr>
        <w:t>chatbots</w:t>
      </w:r>
      <w:proofErr w:type="spellEnd"/>
      <w:r w:rsidRPr="00975F04">
        <w:rPr>
          <w:rFonts w:eastAsia="Verdana" w:cs="Arial"/>
          <w:lang w:bidi="en-US"/>
        </w:rPr>
        <w:t xml:space="preserve">); the human service support options (e.g., call </w:t>
      </w:r>
      <w:proofErr w:type="spellStart"/>
      <w:r w:rsidRPr="00975F04">
        <w:rPr>
          <w:rFonts w:eastAsia="Verdana" w:cs="Arial"/>
          <w:lang w:bidi="en-US"/>
        </w:rPr>
        <w:t>centers</w:t>
      </w:r>
      <w:proofErr w:type="spellEnd"/>
      <w:r w:rsidRPr="00975F04">
        <w:rPr>
          <w:rFonts w:eastAsia="Verdana" w:cs="Arial"/>
          <w:lang w:bidi="en-US"/>
        </w:rPr>
        <w:t>, social media support) and core business operation and features (e.g., terms and options for new connection, quality of service).</w:t>
      </w:r>
    </w:p>
    <w:p w:rsidR="00E10D2E" w:rsidRPr="00975F04" w:rsidRDefault="00E10D2E" w:rsidP="00E10D2E">
      <w:pPr>
        <w:spacing w:before="120" w:after="120"/>
        <w:rPr>
          <w:rFonts w:eastAsia="Verdana" w:cs="Arial"/>
          <w:lang w:bidi="en-US"/>
        </w:rPr>
      </w:pPr>
      <w:r w:rsidRPr="00975F04">
        <w:rPr>
          <w:rFonts w:eastAsia="Verdana" w:cs="Arial"/>
          <w:i/>
          <w:lang w:bidi="en-US"/>
        </w:rPr>
        <w:t>Report on establishing the technical requirements for smart meters according to best practices in EU including the Roadmap for the overall technological transition</w:t>
      </w:r>
      <w:r w:rsidRPr="00975F04">
        <w:rPr>
          <w:rFonts w:eastAsia="Verdana" w:cs="Arial"/>
          <w:lang w:bidi="en-US"/>
        </w:rPr>
        <w:t xml:space="preserve">, </w:t>
      </w:r>
      <w:r w:rsidRPr="00975F04">
        <w:rPr>
          <w:rFonts w:eastAsia="Verdana" w:cs="Arial"/>
          <w:i/>
          <w:lang w:bidi="en-US"/>
        </w:rPr>
        <w:t>Draft Methodology for economic assessment of smart meters implementation (smart meter roll-out) in Moldova</w:t>
      </w:r>
      <w:r w:rsidRPr="00975F04">
        <w:rPr>
          <w:rFonts w:eastAsia="Verdana" w:cs="Arial"/>
          <w:lang w:bidi="en-US"/>
        </w:rPr>
        <w:t xml:space="preserve"> and </w:t>
      </w:r>
      <w:r w:rsidRPr="00975F04">
        <w:rPr>
          <w:rFonts w:eastAsia="Verdana" w:cs="Arial"/>
          <w:i/>
          <w:lang w:bidi="en-US"/>
        </w:rPr>
        <w:t>Gap analysis on the identified legislative and regulatory needed improvements and amendments necessary for implementation of smart meters (smart meter roll-out) in Moldova</w:t>
      </w:r>
      <w:r w:rsidRPr="00975F04">
        <w:rPr>
          <w:rFonts w:eastAsia="Verdana" w:cs="Arial"/>
          <w:lang w:bidi="en-US"/>
        </w:rPr>
        <w:t xml:space="preserve"> will be </w:t>
      </w:r>
      <w:r w:rsidR="009703BB" w:rsidRPr="00975F04">
        <w:rPr>
          <w:rFonts w:eastAsia="Verdana" w:cs="Arial"/>
          <w:lang w:bidi="en-US"/>
        </w:rPr>
        <w:t>provided</w:t>
      </w:r>
      <w:r w:rsidRPr="00975F04">
        <w:rPr>
          <w:rFonts w:eastAsia="Verdana" w:cs="Arial"/>
          <w:lang w:bidi="en-US"/>
        </w:rPr>
        <w:t xml:space="preserve"> to the Consultant</w:t>
      </w:r>
      <w:r w:rsidR="009703BB" w:rsidRPr="00975F04">
        <w:rPr>
          <w:rFonts w:eastAsia="Verdana" w:cs="Arial"/>
          <w:lang w:bidi="en-US"/>
        </w:rPr>
        <w:t>, while the other above mentioned documents are available on the Energy Community website (</w:t>
      </w:r>
      <w:hyperlink r:id="rId8" w:history="1">
        <w:r w:rsidR="009703BB" w:rsidRPr="00975F04">
          <w:rPr>
            <w:rStyle w:val="Hyperlink"/>
            <w:rFonts w:eastAsia="Verdana" w:cs="Arial"/>
            <w:lang w:bidi="en-US"/>
          </w:rPr>
          <w:t>https://www.energy-community.org/</w:t>
        </w:r>
      </w:hyperlink>
      <w:r w:rsidR="009703BB" w:rsidRPr="00975F04">
        <w:rPr>
          <w:rFonts w:eastAsia="Verdana" w:cs="Arial"/>
          <w:lang w:bidi="en-US"/>
        </w:rPr>
        <w:t xml:space="preserve">). </w:t>
      </w:r>
    </w:p>
    <w:p w:rsidR="00712328" w:rsidRPr="00975F04" w:rsidRDefault="00712328" w:rsidP="00E10D2E">
      <w:pPr>
        <w:pStyle w:val="Heading2"/>
      </w:pPr>
      <w:r w:rsidRPr="00975F04">
        <w:t>Deliverables and timeline</w:t>
      </w:r>
    </w:p>
    <w:p w:rsidR="00712328" w:rsidRPr="00975F04" w:rsidRDefault="00712328" w:rsidP="00712328">
      <w:pPr>
        <w:keepNext/>
        <w:keepLines/>
        <w:rPr>
          <w:rFonts w:cs="Arial"/>
        </w:rPr>
      </w:pPr>
      <w:r w:rsidRPr="00975F04">
        <w:rPr>
          <w:rFonts w:cs="Arial"/>
        </w:rPr>
        <w:t xml:space="preserve">The activity flow and reporting is envisaged as follows: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5103"/>
        <w:gridCol w:w="1701"/>
      </w:tblGrid>
      <w:tr w:rsidR="00DA152C" w:rsidRPr="00975F04" w:rsidTr="00876F00">
        <w:tc>
          <w:tcPr>
            <w:tcW w:w="2552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 xml:space="preserve">Activities </w:t>
            </w:r>
          </w:p>
        </w:tc>
        <w:tc>
          <w:tcPr>
            <w:tcW w:w="5103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Description</w:t>
            </w:r>
          </w:p>
        </w:tc>
        <w:tc>
          <w:tcPr>
            <w:tcW w:w="1701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  <w:r w:rsidRPr="00975F04">
              <w:rPr>
                <w:rFonts w:cs="Arial"/>
                <w:b/>
              </w:rPr>
              <w:t>Time schedule</w:t>
            </w:r>
            <w:r w:rsidRPr="00975F04">
              <w:rPr>
                <w:rFonts w:cs="Arial"/>
              </w:rPr>
              <w:t xml:space="preserve"> (from contract signature) </w:t>
            </w:r>
          </w:p>
        </w:tc>
      </w:tr>
      <w:tr w:rsidR="00DA152C" w:rsidRPr="00975F04" w:rsidTr="00876F00">
        <w:tc>
          <w:tcPr>
            <w:tcW w:w="2552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</w:p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  <w:r w:rsidRPr="00975F04">
              <w:rPr>
                <w:rFonts w:cs="Arial"/>
              </w:rPr>
              <w:t xml:space="preserve">Draft report on </w:t>
            </w:r>
            <w:r w:rsidR="00E10D2E" w:rsidRPr="00975F04">
              <w:rPr>
                <w:rFonts w:cs="Arial"/>
              </w:rPr>
              <w:t>Task 1</w:t>
            </w:r>
          </w:p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</w:p>
        </w:tc>
        <w:tc>
          <w:tcPr>
            <w:tcW w:w="5103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</w:p>
          <w:p w:rsidR="00147399" w:rsidRPr="00975F04" w:rsidRDefault="00DA152C" w:rsidP="00147399">
            <w:pPr>
              <w:keepNext/>
              <w:keepLines/>
              <w:rPr>
                <w:rFonts w:cs="Arial"/>
              </w:rPr>
            </w:pPr>
            <w:r w:rsidRPr="00975F04">
              <w:rPr>
                <w:rFonts w:cs="Arial"/>
              </w:rPr>
              <w:t>Evaluation of the current status of smart meters roll-out in Energy Community Contracting Parties comp</w:t>
            </w:r>
            <w:r w:rsidR="00147399" w:rsidRPr="00975F04">
              <w:rPr>
                <w:rFonts w:cs="Arial"/>
              </w:rPr>
              <w:t>ared;</w:t>
            </w:r>
            <w:r w:rsidRPr="00975F04">
              <w:rPr>
                <w:rFonts w:cs="Arial"/>
              </w:rPr>
              <w:t xml:space="preserve"> analysis of the current use of the data received from the smart metering systems </w:t>
            </w:r>
            <w:r w:rsidR="00147399" w:rsidRPr="00975F04">
              <w:rPr>
                <w:rFonts w:cs="Arial"/>
              </w:rPr>
              <w:t>by distribution system operators; evaluation of</w:t>
            </w:r>
            <w:r w:rsidRPr="00975F04">
              <w:rPr>
                <w:rFonts w:cs="Arial"/>
              </w:rPr>
              <w:t xml:space="preserve"> the targeted coverage of smart meters defined by the implementation s</w:t>
            </w:r>
            <w:r w:rsidR="00147399" w:rsidRPr="00975F04">
              <w:rPr>
                <w:rFonts w:cs="Arial"/>
              </w:rPr>
              <w:t>trategies and policies in force; identification of the minimum technical requirements for smart metering systems in line with adopted Directive 944/2019,</w:t>
            </w:r>
            <w:r w:rsidR="007C1CD6" w:rsidRPr="00975F04">
              <w:rPr>
                <w:rFonts w:cs="Arial"/>
              </w:rPr>
              <w:t xml:space="preserve"> </w:t>
            </w:r>
            <w:r w:rsidR="002E4ED0" w:rsidRPr="00975F04">
              <w:rPr>
                <w:rFonts w:cs="Arial"/>
              </w:rPr>
              <w:t xml:space="preserve">identification of </w:t>
            </w:r>
            <w:r w:rsidR="00147399" w:rsidRPr="00975F04">
              <w:rPr>
                <w:rFonts w:cs="Arial"/>
              </w:rPr>
              <w:t xml:space="preserve">the advantages of integration of the smart meters for </w:t>
            </w:r>
            <w:r w:rsidR="00144E63">
              <w:rPr>
                <w:rFonts w:cs="Arial"/>
              </w:rPr>
              <w:t xml:space="preserve">DSOs, </w:t>
            </w:r>
            <w:r w:rsidR="00C641BA" w:rsidRPr="00975F04">
              <w:rPr>
                <w:rFonts w:cs="Arial"/>
              </w:rPr>
              <w:t>identification of the advantages of integration of the smart meters for consumers connected to the distribution system</w:t>
            </w:r>
            <w:r w:rsidR="00144E63">
              <w:rPr>
                <w:rFonts w:cs="Arial"/>
              </w:rPr>
              <w:t xml:space="preserve"> and </w:t>
            </w:r>
            <w:r w:rsidR="00144E63" w:rsidRPr="00975F04">
              <w:rPr>
                <w:rFonts w:eastAsia="Verdana" w:cs="Arial"/>
                <w:lang w:bidi="en-US"/>
              </w:rPr>
              <w:t>recommend</w:t>
            </w:r>
            <w:r w:rsidR="00144E63">
              <w:rPr>
                <w:rFonts w:eastAsia="Verdana" w:cs="Arial"/>
                <w:lang w:bidi="en-US"/>
              </w:rPr>
              <w:t>ation on</w:t>
            </w:r>
            <w:r w:rsidR="00144E63" w:rsidRPr="00975F04">
              <w:rPr>
                <w:rFonts w:eastAsia="Verdana" w:cs="Arial"/>
                <w:lang w:bidi="en-US"/>
              </w:rPr>
              <w:t xml:space="preserve"> </w:t>
            </w:r>
            <w:r w:rsidR="00144E63">
              <w:rPr>
                <w:rFonts w:eastAsia="Verdana" w:cs="Arial"/>
                <w:lang w:bidi="en-US"/>
              </w:rPr>
              <w:t>the</w:t>
            </w:r>
            <w:r w:rsidR="00144E63" w:rsidRPr="00975F04">
              <w:rPr>
                <w:rFonts w:eastAsia="Verdana" w:cs="Arial"/>
                <w:lang w:bidi="en-US"/>
              </w:rPr>
              <w:t xml:space="preserve"> optimal set of solutions</w:t>
            </w:r>
            <w:r w:rsidR="00144E63">
              <w:rPr>
                <w:rFonts w:eastAsia="Verdana" w:cs="Arial"/>
                <w:lang w:bidi="en-US"/>
              </w:rPr>
              <w:t>.</w:t>
            </w:r>
          </w:p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</w:p>
        </w:tc>
        <w:tc>
          <w:tcPr>
            <w:tcW w:w="1701" w:type="dxa"/>
          </w:tcPr>
          <w:p w:rsidR="00DA152C" w:rsidRPr="00975F04" w:rsidRDefault="00DA152C" w:rsidP="00C87EA7">
            <w:pPr>
              <w:keepNext/>
              <w:keepLines/>
              <w:rPr>
                <w:rFonts w:cs="Arial"/>
              </w:rPr>
            </w:pPr>
          </w:p>
          <w:p w:rsidR="00DA152C" w:rsidRPr="00975F04" w:rsidRDefault="00C641BA" w:rsidP="00C87EA7">
            <w:pPr>
              <w:keepNext/>
              <w:keepLines/>
              <w:rPr>
                <w:rFonts w:cs="Arial"/>
              </w:rPr>
            </w:pPr>
            <w:r w:rsidRPr="00975F04">
              <w:rPr>
                <w:rFonts w:cs="Arial"/>
              </w:rPr>
              <w:t>3</w:t>
            </w:r>
            <w:r w:rsidR="00DA152C" w:rsidRPr="00975F04">
              <w:rPr>
                <w:rFonts w:cs="Arial"/>
              </w:rPr>
              <w:t xml:space="preserve"> months </w:t>
            </w:r>
          </w:p>
        </w:tc>
      </w:tr>
      <w:tr w:rsidR="00DA152C" w:rsidRPr="00975F04" w:rsidTr="00876F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I. Workshop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52C" w:rsidRPr="00975F04" w:rsidRDefault="00C641BA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3</w:t>
            </w:r>
            <w:r w:rsidR="00DA152C" w:rsidRPr="00975F04">
              <w:rPr>
                <w:rFonts w:cs="Arial"/>
                <w:b/>
              </w:rPr>
              <w:t xml:space="preserve"> months</w:t>
            </w:r>
          </w:p>
        </w:tc>
      </w:tr>
      <w:tr w:rsidR="00DA152C" w:rsidRPr="00975F04" w:rsidTr="00876F00">
        <w:tc>
          <w:tcPr>
            <w:tcW w:w="2552" w:type="dxa"/>
            <w:tcBorders>
              <w:top w:val="single" w:sz="4" w:space="0" w:color="auto"/>
            </w:tcBorders>
          </w:tcPr>
          <w:p w:rsidR="00DA152C" w:rsidRPr="00975F04" w:rsidRDefault="00DA152C" w:rsidP="00C87EA7">
            <w:pPr>
              <w:rPr>
                <w:rFonts w:cs="Arial"/>
              </w:rPr>
            </w:pPr>
          </w:p>
          <w:p w:rsidR="00DA152C" w:rsidRPr="00975F04" w:rsidRDefault="00C641BA" w:rsidP="00E10D2E">
            <w:pPr>
              <w:rPr>
                <w:rFonts w:cs="Arial"/>
              </w:rPr>
            </w:pPr>
            <w:r w:rsidRPr="00975F04">
              <w:rPr>
                <w:rFonts w:cs="Arial"/>
              </w:rPr>
              <w:t xml:space="preserve">Draft report on </w:t>
            </w:r>
            <w:r w:rsidR="00E10D2E" w:rsidRPr="00975F04">
              <w:rPr>
                <w:rFonts w:cs="Arial"/>
              </w:rPr>
              <w:t>Task 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A152C" w:rsidRPr="00975F04" w:rsidRDefault="00DA152C" w:rsidP="00C87EA7">
            <w:pPr>
              <w:rPr>
                <w:rFonts w:cs="Arial"/>
              </w:rPr>
            </w:pPr>
          </w:p>
          <w:p w:rsidR="00DA152C" w:rsidRPr="00975F04" w:rsidRDefault="00C641BA" w:rsidP="007C1CD6">
            <w:pPr>
              <w:rPr>
                <w:rFonts w:cs="Arial"/>
              </w:rPr>
            </w:pPr>
            <w:r w:rsidRPr="00975F04">
              <w:rPr>
                <w:rFonts w:cs="Arial"/>
              </w:rPr>
              <w:t>R</w:t>
            </w:r>
            <w:r w:rsidR="00CC2511" w:rsidRPr="00975F04">
              <w:rPr>
                <w:rFonts w:cs="Arial"/>
              </w:rPr>
              <w:t>ecommendation on the optimal set of solutions to enable efficient utilisation of the existing smart meters and optimum smart meters coverage to exploit ben</w:t>
            </w:r>
            <w:r w:rsidR="00E02D8C" w:rsidRPr="00975F04">
              <w:rPr>
                <w:rFonts w:cs="Arial"/>
              </w:rPr>
              <w:t xml:space="preserve">efits of smart meters roll-out, and </w:t>
            </w:r>
            <w:r w:rsidR="00AD6D54" w:rsidRPr="00975F04">
              <w:rPr>
                <w:rFonts w:cs="Arial"/>
              </w:rPr>
              <w:t>giving the</w:t>
            </w:r>
            <w:r w:rsidR="00E02D8C" w:rsidRPr="00975F04">
              <w:rPr>
                <w:rFonts w:cs="Arial"/>
              </w:rPr>
              <w:t xml:space="preserve"> overview of </w:t>
            </w:r>
            <w:r w:rsidR="00CC2511" w:rsidRPr="00975F04">
              <w:rPr>
                <w:rFonts w:cs="Arial"/>
              </w:rPr>
              <w:t xml:space="preserve">the experience and lesson learned in the selected list of European DSOs in the advanced stage of </w:t>
            </w:r>
            <w:r w:rsidR="00AD6D54" w:rsidRPr="00975F04">
              <w:rPr>
                <w:rFonts w:cs="Arial"/>
              </w:rPr>
              <w:t>grid automation.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A152C" w:rsidRPr="00975F04" w:rsidRDefault="00DA152C" w:rsidP="00C87EA7">
            <w:pPr>
              <w:rPr>
                <w:rFonts w:cs="Arial"/>
              </w:rPr>
            </w:pPr>
          </w:p>
          <w:p w:rsidR="00DA152C" w:rsidRPr="00975F04" w:rsidRDefault="00DA152C" w:rsidP="00C87EA7">
            <w:pPr>
              <w:rPr>
                <w:rFonts w:cs="Arial"/>
              </w:rPr>
            </w:pPr>
            <w:r w:rsidRPr="00975F04">
              <w:rPr>
                <w:rFonts w:cs="Arial"/>
              </w:rPr>
              <w:t xml:space="preserve"> </w:t>
            </w:r>
            <w:r w:rsidR="002A0652" w:rsidRPr="00975F04">
              <w:rPr>
                <w:rFonts w:cs="Arial"/>
              </w:rPr>
              <w:t>5</w:t>
            </w:r>
            <w:r w:rsidR="00CC2511" w:rsidRPr="00975F04">
              <w:rPr>
                <w:rFonts w:cs="Arial"/>
              </w:rPr>
              <w:t xml:space="preserve"> </w:t>
            </w:r>
            <w:r w:rsidRPr="00975F04">
              <w:rPr>
                <w:rFonts w:cs="Arial"/>
              </w:rPr>
              <w:t>months</w:t>
            </w:r>
          </w:p>
        </w:tc>
      </w:tr>
      <w:tr w:rsidR="00DA152C" w:rsidRPr="00975F04" w:rsidTr="00876F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II. Workshop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52C" w:rsidRPr="00975F04" w:rsidRDefault="002A0652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5</w:t>
            </w:r>
            <w:r w:rsidR="007C1CD6" w:rsidRPr="00975F04">
              <w:rPr>
                <w:rFonts w:cs="Arial"/>
                <w:b/>
              </w:rPr>
              <w:t xml:space="preserve"> </w:t>
            </w:r>
            <w:r w:rsidR="00DA152C" w:rsidRPr="00975F04">
              <w:rPr>
                <w:rFonts w:cs="Arial"/>
                <w:b/>
              </w:rPr>
              <w:t>months</w:t>
            </w:r>
          </w:p>
        </w:tc>
      </w:tr>
      <w:tr w:rsidR="00DA152C" w:rsidRPr="00975F04" w:rsidTr="00876F00">
        <w:tc>
          <w:tcPr>
            <w:tcW w:w="2552" w:type="dxa"/>
            <w:tcBorders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III. Final Report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DA152C" w:rsidRPr="00975F04" w:rsidRDefault="00DA152C" w:rsidP="00C87EA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DA152C" w:rsidRPr="00975F04" w:rsidRDefault="002A0652" w:rsidP="00C87EA7">
            <w:pPr>
              <w:rPr>
                <w:rFonts w:cs="Arial"/>
                <w:b/>
              </w:rPr>
            </w:pPr>
            <w:r w:rsidRPr="00975F04">
              <w:rPr>
                <w:rFonts w:cs="Arial"/>
                <w:b/>
              </w:rPr>
              <w:t>6</w:t>
            </w:r>
            <w:r w:rsidR="00DA152C" w:rsidRPr="00975F04">
              <w:rPr>
                <w:rFonts w:cs="Arial"/>
                <w:b/>
              </w:rPr>
              <w:t xml:space="preserve"> months</w:t>
            </w:r>
          </w:p>
        </w:tc>
      </w:tr>
    </w:tbl>
    <w:p w:rsidR="00772D6D" w:rsidRDefault="00772D6D" w:rsidP="00772D6D"/>
    <w:p w:rsidR="002249B7" w:rsidRPr="00975F04" w:rsidRDefault="002249B7" w:rsidP="002249B7">
      <w:pPr>
        <w:pStyle w:val="Heading2"/>
      </w:pPr>
      <w:r>
        <w:t>Budget</w:t>
      </w:r>
    </w:p>
    <w:p w:rsidR="002249B7" w:rsidRPr="006F634D" w:rsidRDefault="002249B7" w:rsidP="002249B7">
      <w:pPr>
        <w:rPr>
          <w:rFonts w:cs="Arial"/>
        </w:rPr>
      </w:pPr>
      <w:r w:rsidRPr="00D71075">
        <w:rPr>
          <w:rFonts w:cs="Arial"/>
        </w:rPr>
        <w:t>The allocated budget for the stud</w:t>
      </w:r>
      <w:r>
        <w:rPr>
          <w:rFonts w:cs="Arial"/>
        </w:rPr>
        <w:t>y is set at a maximum of EUR 110</w:t>
      </w:r>
      <w:r w:rsidRPr="00D71075">
        <w:rPr>
          <w:rFonts w:cs="Arial"/>
        </w:rPr>
        <w:t>.000.</w:t>
      </w:r>
      <w:r w:rsidRPr="006F634D">
        <w:rPr>
          <w:rFonts w:cs="Arial"/>
        </w:rPr>
        <w:t xml:space="preserve"> </w:t>
      </w:r>
    </w:p>
    <w:p w:rsidR="002249B7" w:rsidRPr="00975F04" w:rsidRDefault="002249B7" w:rsidP="00772D6D"/>
    <w:sectPr w:rsidR="002249B7" w:rsidRPr="00975F0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0C" w:rsidRDefault="0005320C" w:rsidP="00C64F12">
      <w:pPr>
        <w:spacing w:after="0" w:line="240" w:lineRule="auto"/>
      </w:pPr>
      <w:r>
        <w:separator/>
      </w:r>
    </w:p>
  </w:endnote>
  <w:endnote w:type="continuationSeparator" w:id="0">
    <w:p w:rsidR="0005320C" w:rsidRDefault="0005320C" w:rsidP="00C6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56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E63" w:rsidRDefault="00144E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D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4E63" w:rsidRDefault="00144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0C" w:rsidRDefault="0005320C" w:rsidP="00C64F12">
      <w:pPr>
        <w:spacing w:after="0" w:line="240" w:lineRule="auto"/>
      </w:pPr>
      <w:r>
        <w:separator/>
      </w:r>
    </w:p>
  </w:footnote>
  <w:footnote w:type="continuationSeparator" w:id="0">
    <w:p w:rsidR="0005320C" w:rsidRDefault="0005320C" w:rsidP="00C64F12">
      <w:pPr>
        <w:spacing w:after="0" w:line="240" w:lineRule="auto"/>
      </w:pPr>
      <w:r>
        <w:continuationSeparator/>
      </w:r>
    </w:p>
  </w:footnote>
  <w:footnote w:id="1">
    <w:p w:rsidR="00194529" w:rsidRDefault="00194529">
      <w:pPr>
        <w:pStyle w:val="FootnoteText"/>
      </w:pPr>
      <w:r>
        <w:rPr>
          <w:rStyle w:val="FootnoteReference"/>
        </w:rPr>
        <w:footnoteRef/>
      </w:r>
      <w:r>
        <w:t xml:space="preserve"> Document will be made available to the Consultant </w:t>
      </w:r>
    </w:p>
  </w:footnote>
  <w:footnote w:id="2">
    <w:p w:rsidR="00C64F12" w:rsidRDefault="00C64F12">
      <w:pPr>
        <w:pStyle w:val="FootnoteText"/>
      </w:pPr>
      <w:r>
        <w:rPr>
          <w:rStyle w:val="FootnoteReference"/>
        </w:rPr>
        <w:footnoteRef/>
      </w:r>
      <w:hyperlink r:id="rId1" w:history="1">
        <w:r w:rsidRPr="001261EF">
          <w:rPr>
            <w:rStyle w:val="Hyperlink"/>
          </w:rPr>
          <w:t>https://www.energy-community.org/dam/jcr:2db406e5-294f-4285-9209-ec90349ce5cb/Flexiblity_EnCreport_0722.pdf</w:t>
        </w:r>
      </w:hyperlink>
      <w:r>
        <w:t xml:space="preserve"> </w:t>
      </w:r>
    </w:p>
  </w:footnote>
  <w:footnote w:id="3">
    <w:p w:rsidR="00C64F12" w:rsidRDefault="00C64F12">
      <w:pPr>
        <w:pStyle w:val="FootnoteText"/>
      </w:pPr>
      <w:r>
        <w:rPr>
          <w:rStyle w:val="FootnoteReference"/>
        </w:rPr>
        <w:footnoteRef/>
      </w:r>
      <w:hyperlink r:id="rId2" w:history="1">
        <w:r w:rsidRPr="001261EF">
          <w:rPr>
            <w:rStyle w:val="Hyperlink"/>
          </w:rPr>
          <w:t>https://www.energy-community.org/dam/jcr:c0c0049b-6cd1-4689-9bea-67e6e8c0b1ec/ECS_smartgrid_052020.pdf</w:t>
        </w:r>
      </w:hyperlink>
      <w:r>
        <w:t xml:space="preserve"> </w:t>
      </w:r>
    </w:p>
  </w:footnote>
  <w:footnote w:id="4">
    <w:p w:rsidR="00C64F12" w:rsidRDefault="00C64F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anchor="x892md-accordion" w:history="1">
        <w:r w:rsidRPr="001261EF">
          <w:rPr>
            <w:rStyle w:val="Hyperlink"/>
          </w:rPr>
          <w:t>https://www.energy-community.org/documents/studies.html#x892md-accordion</w:t>
        </w:r>
      </w:hyperlink>
      <w:r>
        <w:t xml:space="preserve"> </w:t>
      </w:r>
    </w:p>
  </w:footnote>
  <w:footnote w:id="5">
    <w:p w:rsidR="00C64F12" w:rsidRDefault="00C64F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1261EF">
          <w:rPr>
            <w:rStyle w:val="Hyperlink"/>
          </w:rPr>
          <w:t>https://www.energy-community.org/dam/jcr:9833dda9-a72e-488a-9480-a0b82c919671/ECDSO-E_PP_QoS_062020.pdf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6B8"/>
    <w:multiLevelType w:val="multilevel"/>
    <w:tmpl w:val="C262E028"/>
    <w:lvl w:ilvl="0">
      <w:start w:val="1"/>
      <w:numFmt w:val="decimal"/>
      <w:lvlText w:val="2.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2.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1.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" w15:restartNumberingAfterBreak="0">
    <w:nsid w:val="0B7827F0"/>
    <w:multiLevelType w:val="multilevel"/>
    <w:tmpl w:val="996C3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B492A"/>
    <w:multiLevelType w:val="hybridMultilevel"/>
    <w:tmpl w:val="817E5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971"/>
    <w:multiLevelType w:val="hybridMultilevel"/>
    <w:tmpl w:val="817E5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D07"/>
    <w:multiLevelType w:val="hybridMultilevel"/>
    <w:tmpl w:val="817E5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5E63"/>
    <w:multiLevelType w:val="hybridMultilevel"/>
    <w:tmpl w:val="96D87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D462D"/>
    <w:multiLevelType w:val="hybridMultilevel"/>
    <w:tmpl w:val="E4FC5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93B08"/>
    <w:multiLevelType w:val="hybridMultilevel"/>
    <w:tmpl w:val="A3243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38B6"/>
    <w:multiLevelType w:val="multilevel"/>
    <w:tmpl w:val="5F2CAC74"/>
    <w:lvl w:ilvl="0">
      <w:start w:val="1"/>
      <w:numFmt w:val="decimal"/>
      <w:lvlText w:val="1.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1.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9" w15:restartNumberingAfterBreak="0">
    <w:nsid w:val="3FF71F32"/>
    <w:multiLevelType w:val="hybridMultilevel"/>
    <w:tmpl w:val="9372E846"/>
    <w:lvl w:ilvl="0" w:tplc="58AEA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C4EA7C0">
      <w:start w:val="8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CFB"/>
    <w:multiLevelType w:val="hybridMultilevel"/>
    <w:tmpl w:val="029EE7A0"/>
    <w:lvl w:ilvl="0" w:tplc="EBA84EA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D67A90"/>
    <w:multiLevelType w:val="hybridMultilevel"/>
    <w:tmpl w:val="A3243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671B"/>
    <w:multiLevelType w:val="hybridMultilevel"/>
    <w:tmpl w:val="88B86A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F1D67"/>
    <w:multiLevelType w:val="hybridMultilevel"/>
    <w:tmpl w:val="52F26DD8"/>
    <w:lvl w:ilvl="0" w:tplc="EBA84E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3307A"/>
    <w:multiLevelType w:val="multilevel"/>
    <w:tmpl w:val="10B41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A8080B"/>
    <w:multiLevelType w:val="multilevel"/>
    <w:tmpl w:val="DE5CE8F0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4E6631"/>
    <w:multiLevelType w:val="hybridMultilevel"/>
    <w:tmpl w:val="3A9E45D2"/>
    <w:lvl w:ilvl="0" w:tplc="F52C4CA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68B2800"/>
    <w:multiLevelType w:val="hybridMultilevel"/>
    <w:tmpl w:val="9B5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B02A1"/>
    <w:multiLevelType w:val="multilevel"/>
    <w:tmpl w:val="FAA63D9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9" w15:restartNumberingAfterBreak="0">
    <w:nsid w:val="7BE41AB3"/>
    <w:multiLevelType w:val="hybridMultilevel"/>
    <w:tmpl w:val="60AAE3E0"/>
    <w:lvl w:ilvl="0" w:tplc="58AEA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6"/>
  </w:num>
  <w:num w:numId="5">
    <w:abstractNumId w:val="19"/>
  </w:num>
  <w:num w:numId="6">
    <w:abstractNumId w:val="9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7"/>
  </w:num>
  <w:num w:numId="16">
    <w:abstractNumId w:val="12"/>
  </w:num>
  <w:num w:numId="17">
    <w:abstractNumId w:val="2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15"/>
  </w:num>
  <w:num w:numId="23">
    <w:abstractNumId w:val="15"/>
  </w:num>
  <w:num w:numId="24">
    <w:abstractNumId w:val="5"/>
  </w:num>
  <w:num w:numId="25">
    <w:abstractNumId w:val="8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t7Q0NzCyMDMxNLFQ0lEKTi0uzszPAykwqgUAc+jOWSwAAAA="/>
  </w:docVars>
  <w:rsids>
    <w:rsidRoot w:val="00772D6D"/>
    <w:rsid w:val="0004397C"/>
    <w:rsid w:val="0005320C"/>
    <w:rsid w:val="00055269"/>
    <w:rsid w:val="00057E3B"/>
    <w:rsid w:val="00066A78"/>
    <w:rsid w:val="00073908"/>
    <w:rsid w:val="00085340"/>
    <w:rsid w:val="0009013C"/>
    <w:rsid w:val="00093AA6"/>
    <w:rsid w:val="000950CD"/>
    <w:rsid w:val="000A1B2B"/>
    <w:rsid w:val="000D486E"/>
    <w:rsid w:val="000D7891"/>
    <w:rsid w:val="000F00B4"/>
    <w:rsid w:val="000F56BC"/>
    <w:rsid w:val="00102561"/>
    <w:rsid w:val="00104FE3"/>
    <w:rsid w:val="00114D54"/>
    <w:rsid w:val="0011535F"/>
    <w:rsid w:val="0013747D"/>
    <w:rsid w:val="00144E63"/>
    <w:rsid w:val="00147399"/>
    <w:rsid w:val="001616E0"/>
    <w:rsid w:val="00194529"/>
    <w:rsid w:val="001A2FCC"/>
    <w:rsid w:val="001A3964"/>
    <w:rsid w:val="001B7A1E"/>
    <w:rsid w:val="001C1F4A"/>
    <w:rsid w:val="00203626"/>
    <w:rsid w:val="00216384"/>
    <w:rsid w:val="002249B7"/>
    <w:rsid w:val="002306BA"/>
    <w:rsid w:val="00250C22"/>
    <w:rsid w:val="00261E0C"/>
    <w:rsid w:val="00263D61"/>
    <w:rsid w:val="00285605"/>
    <w:rsid w:val="002A0652"/>
    <w:rsid w:val="002C2DDB"/>
    <w:rsid w:val="002E2A7A"/>
    <w:rsid w:val="002E4ED0"/>
    <w:rsid w:val="002E5EBF"/>
    <w:rsid w:val="002F0DD7"/>
    <w:rsid w:val="003114D4"/>
    <w:rsid w:val="003256B8"/>
    <w:rsid w:val="003270B6"/>
    <w:rsid w:val="00331C51"/>
    <w:rsid w:val="00336E17"/>
    <w:rsid w:val="00342D2B"/>
    <w:rsid w:val="00356A2D"/>
    <w:rsid w:val="003A17E0"/>
    <w:rsid w:val="003A25D2"/>
    <w:rsid w:val="003A4520"/>
    <w:rsid w:val="003A4C7C"/>
    <w:rsid w:val="003C1A6D"/>
    <w:rsid w:val="004070FE"/>
    <w:rsid w:val="00421860"/>
    <w:rsid w:val="00476642"/>
    <w:rsid w:val="004861C6"/>
    <w:rsid w:val="00491FD2"/>
    <w:rsid w:val="004972E9"/>
    <w:rsid w:val="004A6B6A"/>
    <w:rsid w:val="004B47EF"/>
    <w:rsid w:val="004B73E7"/>
    <w:rsid w:val="004B7717"/>
    <w:rsid w:val="004E0444"/>
    <w:rsid w:val="004E4118"/>
    <w:rsid w:val="00500FF8"/>
    <w:rsid w:val="00505B4D"/>
    <w:rsid w:val="00507CCC"/>
    <w:rsid w:val="0051043E"/>
    <w:rsid w:val="00513EE6"/>
    <w:rsid w:val="00533ADB"/>
    <w:rsid w:val="00573854"/>
    <w:rsid w:val="00574B7B"/>
    <w:rsid w:val="00594E36"/>
    <w:rsid w:val="005A5970"/>
    <w:rsid w:val="005B7404"/>
    <w:rsid w:val="005C15C8"/>
    <w:rsid w:val="005C492F"/>
    <w:rsid w:val="005C4C16"/>
    <w:rsid w:val="005D61FF"/>
    <w:rsid w:val="00600F41"/>
    <w:rsid w:val="006126F2"/>
    <w:rsid w:val="00645702"/>
    <w:rsid w:val="0066600C"/>
    <w:rsid w:val="006B06C7"/>
    <w:rsid w:val="006B1223"/>
    <w:rsid w:val="006B4C1D"/>
    <w:rsid w:val="006C456D"/>
    <w:rsid w:val="006F4A80"/>
    <w:rsid w:val="006F7257"/>
    <w:rsid w:val="00712328"/>
    <w:rsid w:val="00720C75"/>
    <w:rsid w:val="007657E0"/>
    <w:rsid w:val="007666CF"/>
    <w:rsid w:val="00772D6D"/>
    <w:rsid w:val="00772DBF"/>
    <w:rsid w:val="00773D50"/>
    <w:rsid w:val="007B49A5"/>
    <w:rsid w:val="007C1CD6"/>
    <w:rsid w:val="007E43B3"/>
    <w:rsid w:val="00811D85"/>
    <w:rsid w:val="00857757"/>
    <w:rsid w:val="00862BD3"/>
    <w:rsid w:val="00866D69"/>
    <w:rsid w:val="00876F00"/>
    <w:rsid w:val="00883282"/>
    <w:rsid w:val="00892E3F"/>
    <w:rsid w:val="008947AF"/>
    <w:rsid w:val="008D2A54"/>
    <w:rsid w:val="008D320B"/>
    <w:rsid w:val="00922BC5"/>
    <w:rsid w:val="0093629B"/>
    <w:rsid w:val="0096658C"/>
    <w:rsid w:val="009703BB"/>
    <w:rsid w:val="00975F04"/>
    <w:rsid w:val="00980283"/>
    <w:rsid w:val="009802A9"/>
    <w:rsid w:val="009A122E"/>
    <w:rsid w:val="009B2C65"/>
    <w:rsid w:val="009B380C"/>
    <w:rsid w:val="009D61D2"/>
    <w:rsid w:val="00A10D28"/>
    <w:rsid w:val="00A160AC"/>
    <w:rsid w:val="00A30820"/>
    <w:rsid w:val="00A417B1"/>
    <w:rsid w:val="00A56AE3"/>
    <w:rsid w:val="00A60980"/>
    <w:rsid w:val="00A62A28"/>
    <w:rsid w:val="00A6312B"/>
    <w:rsid w:val="00A67294"/>
    <w:rsid w:val="00A77E68"/>
    <w:rsid w:val="00AB1A89"/>
    <w:rsid w:val="00AC1645"/>
    <w:rsid w:val="00AD647D"/>
    <w:rsid w:val="00AD6D54"/>
    <w:rsid w:val="00AE13B2"/>
    <w:rsid w:val="00AE6118"/>
    <w:rsid w:val="00B23A85"/>
    <w:rsid w:val="00B24AE7"/>
    <w:rsid w:val="00B31D75"/>
    <w:rsid w:val="00B379F5"/>
    <w:rsid w:val="00B65BD4"/>
    <w:rsid w:val="00B9720B"/>
    <w:rsid w:val="00BA3A9F"/>
    <w:rsid w:val="00BA5493"/>
    <w:rsid w:val="00BC60E6"/>
    <w:rsid w:val="00C04966"/>
    <w:rsid w:val="00C274ED"/>
    <w:rsid w:val="00C52296"/>
    <w:rsid w:val="00C56E63"/>
    <w:rsid w:val="00C6367C"/>
    <w:rsid w:val="00C641BA"/>
    <w:rsid w:val="00C64F12"/>
    <w:rsid w:val="00C85063"/>
    <w:rsid w:val="00C901D2"/>
    <w:rsid w:val="00C94C9D"/>
    <w:rsid w:val="00CA4CDF"/>
    <w:rsid w:val="00CB61D9"/>
    <w:rsid w:val="00CC2511"/>
    <w:rsid w:val="00CC79A1"/>
    <w:rsid w:val="00D31AB7"/>
    <w:rsid w:val="00D45421"/>
    <w:rsid w:val="00D4605C"/>
    <w:rsid w:val="00D551E5"/>
    <w:rsid w:val="00D64A9B"/>
    <w:rsid w:val="00D6753A"/>
    <w:rsid w:val="00D67EFE"/>
    <w:rsid w:val="00DA152C"/>
    <w:rsid w:val="00DA6DF4"/>
    <w:rsid w:val="00DE0601"/>
    <w:rsid w:val="00DF020E"/>
    <w:rsid w:val="00DF1217"/>
    <w:rsid w:val="00E00CBA"/>
    <w:rsid w:val="00E02121"/>
    <w:rsid w:val="00E02D8C"/>
    <w:rsid w:val="00E060F3"/>
    <w:rsid w:val="00E10D2E"/>
    <w:rsid w:val="00E42A5C"/>
    <w:rsid w:val="00E621A9"/>
    <w:rsid w:val="00E64E43"/>
    <w:rsid w:val="00E71B01"/>
    <w:rsid w:val="00E7543B"/>
    <w:rsid w:val="00E821DF"/>
    <w:rsid w:val="00E82CB1"/>
    <w:rsid w:val="00E83A9A"/>
    <w:rsid w:val="00E9067C"/>
    <w:rsid w:val="00EB19D7"/>
    <w:rsid w:val="00F0494B"/>
    <w:rsid w:val="00F101AE"/>
    <w:rsid w:val="00F44A1C"/>
    <w:rsid w:val="00F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2A878"/>
  <w15:chartTrackingRefBased/>
  <w15:docId w15:val="{F3650BCC-A3FF-4EA5-9455-3DB832D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D6D"/>
    <w:pPr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0D2E"/>
    <w:pPr>
      <w:keepNext/>
      <w:keepLines/>
      <w:numPr>
        <w:numId w:val="1"/>
      </w:numPr>
      <w:spacing w:before="320" w:after="120"/>
      <w:jc w:val="left"/>
      <w:outlineLvl w:val="0"/>
    </w:pPr>
    <w:rPr>
      <w:rFonts w:eastAsiaTheme="majorEastAsia" w:cstheme="majorBidi"/>
      <w:color w:val="1F4E79" w:themeColor="accent1" w:themeShade="80"/>
      <w:sz w:val="24"/>
      <w:szCs w:val="32"/>
      <w:lang w:val="sr-Latn-C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10D2E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color w:val="1F4E79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72D6D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6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6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6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6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6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6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D2E"/>
    <w:rPr>
      <w:rFonts w:ascii="Arial" w:eastAsiaTheme="majorEastAsia" w:hAnsi="Arial" w:cstheme="majorBidi"/>
      <w:color w:val="1F4E79" w:themeColor="accent1" w:themeShade="80"/>
      <w:sz w:val="24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E10D2E"/>
    <w:rPr>
      <w:rFonts w:ascii="Arial" w:eastAsiaTheme="majorEastAsia" w:hAnsi="Arial" w:cstheme="majorBidi"/>
      <w:color w:val="1F4E79" w:themeColor="accent1" w:themeShade="80"/>
      <w:sz w:val="24"/>
      <w:szCs w:val="26"/>
      <w:lang w:val="en-GB"/>
    </w:rPr>
  </w:style>
  <w:style w:type="character" w:styleId="BookTitle">
    <w:name w:val="Book Title"/>
    <w:basedOn w:val="DefaultParagraphFont"/>
    <w:uiPriority w:val="33"/>
    <w:qFormat/>
    <w:rsid w:val="00772D6D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772D6D"/>
    <w:rPr>
      <w:rFonts w:ascii="Arial" w:eastAsiaTheme="majorEastAsia" w:hAnsi="Arial" w:cstheme="majorBidi"/>
      <w:color w:val="1F4D78" w:themeColor="accent1" w:themeShade="7F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21860"/>
    <w:pPr>
      <w:spacing w:before="240" w:after="240" w:line="240" w:lineRule="auto"/>
      <w:jc w:val="center"/>
    </w:pPr>
    <w:rPr>
      <w:rFonts w:eastAsiaTheme="majorEastAsia" w:cstheme="majorBidi"/>
      <w:color w:val="1F4E79" w:themeColor="accent1" w:themeShade="80"/>
      <w:spacing w:val="-10"/>
      <w:kern w:val="28"/>
      <w:sz w:val="32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421860"/>
    <w:rPr>
      <w:rFonts w:ascii="Arial" w:eastAsiaTheme="majorEastAsia" w:hAnsi="Arial" w:cstheme="majorBidi"/>
      <w:color w:val="1F4E79" w:themeColor="accent1" w:themeShade="80"/>
      <w:spacing w:val="-10"/>
      <w:kern w:val="28"/>
      <w:sz w:val="32"/>
      <w:szCs w:val="5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6D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6D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6D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6D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772D6D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oints,Liststycke SKL"/>
    <w:basedOn w:val="Normal"/>
    <w:link w:val="ListParagraphChar"/>
    <w:uiPriority w:val="34"/>
    <w:qFormat/>
    <w:rsid w:val="00773D50"/>
    <w:pPr>
      <w:ind w:left="720"/>
      <w:contextualSpacing/>
    </w:pPr>
  </w:style>
  <w:style w:type="table" w:styleId="TableGrid">
    <w:name w:val="Table Grid"/>
    <w:basedOn w:val="TableNormal"/>
    <w:rsid w:val="0071232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3B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E0444"/>
    <w:pPr>
      <w:widowControl w:val="0"/>
      <w:spacing w:after="0" w:line="240" w:lineRule="auto"/>
      <w:ind w:left="149"/>
      <w:jc w:val="left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44"/>
    <w:rPr>
      <w:rFonts w:ascii="Arial" w:eastAsia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F12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64F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63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63"/>
    <w:rPr>
      <w:rFonts w:ascii="Arial" w:hAnsi="Arial"/>
      <w:lang w:val="en-GB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oints Char"/>
    <w:link w:val="ListParagraph"/>
    <w:uiPriority w:val="34"/>
    <w:rsid w:val="002249B7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-commun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ergy-community.org/documents/studies.html" TargetMode="External"/><Relationship Id="rId2" Type="http://schemas.openxmlformats.org/officeDocument/2006/relationships/hyperlink" Target="https://www.energy-community.org/dam/jcr:c0c0049b-6cd1-4689-9bea-67e6e8c0b1ec/ECS_smartgrid_052020.pdf" TargetMode="External"/><Relationship Id="rId1" Type="http://schemas.openxmlformats.org/officeDocument/2006/relationships/hyperlink" Target="https://www.energy-community.org/dam/jcr:2db406e5-294f-4285-9209-ec90349ce5cb/Flexiblity_EnCreport_0722.pdf" TargetMode="External"/><Relationship Id="rId4" Type="http://schemas.openxmlformats.org/officeDocument/2006/relationships/hyperlink" Target="https://www.energy-community.org/dam/jcr:9833dda9-a72e-488a-9480-a0b82c919671/ECDSO-E_PP_QoS_06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30EF0-E4FA-448B-A88E-F151767E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Ninkovic</dc:creator>
  <cp:keywords/>
  <dc:description/>
  <cp:lastModifiedBy>Milka Mumovic</cp:lastModifiedBy>
  <cp:revision>9</cp:revision>
  <dcterms:created xsi:type="dcterms:W3CDTF">2022-11-16T14:18:00Z</dcterms:created>
  <dcterms:modified xsi:type="dcterms:W3CDTF">2022-11-18T09:54:00Z</dcterms:modified>
</cp:coreProperties>
</file>